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Times New Roman" w:hAnsi="Times New Roman" w:eastAsia="黑体" w:cs="Times New Roman"/>
          <w:sz w:val="30"/>
          <w:szCs w:val="30"/>
        </w:rPr>
      </w:pPr>
      <w:r>
        <w:rPr>
          <w:rFonts w:ascii="Times New Roman" w:hAnsi="黑体" w:eastAsia="黑体" w:cs="Times New Roman"/>
          <w:sz w:val="30"/>
          <w:szCs w:val="30"/>
        </w:rPr>
        <w:t>团体标准《汽车用冷轧钢板电泳漆膜耐剥离性能电化学测试方法》编制说明</w:t>
      </w:r>
    </w:p>
    <w:p>
      <w:pPr>
        <w:snapToGrid w:val="0"/>
        <w:jc w:val="left"/>
        <w:rPr>
          <w:rFonts w:ascii="Times New Roman" w:hAnsi="Times New Roman" w:eastAsia="黑体" w:cs="Times New Roman"/>
          <w:sz w:val="24"/>
          <w:szCs w:val="24"/>
        </w:rPr>
      </w:pPr>
      <w:r>
        <w:rPr>
          <w:rFonts w:ascii="Times New Roman" w:hAnsi="黑体" w:eastAsia="黑体" w:cs="Times New Roman"/>
          <w:sz w:val="24"/>
          <w:szCs w:val="24"/>
        </w:rPr>
        <w:t>一、工作简况</w:t>
      </w:r>
    </w:p>
    <w:p>
      <w:pPr>
        <w:snapToGrid w:val="0"/>
        <w:jc w:val="left"/>
        <w:rPr>
          <w:rFonts w:ascii="Times New Roman" w:hAnsi="Times New Roman" w:eastAsia="黑体" w:cs="Times New Roman"/>
          <w:sz w:val="24"/>
          <w:szCs w:val="24"/>
        </w:rPr>
      </w:pPr>
      <w:r>
        <w:rPr>
          <w:rFonts w:ascii="Times New Roman" w:hAnsi="Times New Roman" w:eastAsia="黑体" w:cs="Times New Roman"/>
          <w:sz w:val="24"/>
          <w:szCs w:val="24"/>
        </w:rPr>
        <w:t>1.</w:t>
      </w:r>
      <w:r>
        <w:rPr>
          <w:rFonts w:ascii="Times New Roman" w:hAnsi="黑体" w:eastAsia="黑体" w:cs="Times New Roman"/>
          <w:sz w:val="24"/>
          <w:szCs w:val="24"/>
        </w:rPr>
        <w:t>任务来源</w:t>
      </w:r>
    </w:p>
    <w:p>
      <w:pPr>
        <w:snapToGrid w:val="0"/>
        <w:ind w:firstLine="480" w:firstLineChars="200"/>
        <w:jc w:val="left"/>
        <w:rPr>
          <w:rFonts w:ascii="Times New Roman" w:hAnsi="Times New Roman" w:cs="Times New Roman"/>
          <w:sz w:val="24"/>
          <w:szCs w:val="24"/>
        </w:rPr>
      </w:pPr>
      <w:r>
        <w:rPr>
          <w:rFonts w:ascii="Times New Roman" w:cs="Times New Roman" w:hAnsiTheme="minorEastAsia"/>
          <w:sz w:val="24"/>
          <w:szCs w:val="24"/>
        </w:rPr>
        <w:t>本项目是依据中国金属学会金字</w:t>
      </w:r>
      <w:r>
        <w:rPr>
          <w:rFonts w:ascii="Times New Roman" w:hAnsi="Times New Roman" w:cs="Times New Roman"/>
          <w:sz w:val="24"/>
          <w:szCs w:val="24"/>
        </w:rPr>
        <w:t>[2019] 094</w:t>
      </w:r>
      <w:r>
        <w:rPr>
          <w:rFonts w:ascii="Times New Roman" w:cs="Times New Roman" w:hAnsiTheme="minorEastAsia"/>
          <w:sz w:val="24"/>
          <w:szCs w:val="24"/>
        </w:rPr>
        <w:t>号文</w:t>
      </w:r>
      <w:r>
        <w:rPr>
          <w:rFonts w:ascii="Times New Roman" w:hAnsi="Times New Roman" w:cs="Times New Roman"/>
          <w:sz w:val="24"/>
          <w:szCs w:val="24"/>
        </w:rPr>
        <w:t>“</w:t>
      </w:r>
      <w:r>
        <w:rPr>
          <w:rFonts w:ascii="Times New Roman" w:cs="Times New Roman" w:hAnsiTheme="minorEastAsia"/>
          <w:sz w:val="24"/>
          <w:szCs w:val="24"/>
        </w:rPr>
        <w:t>关于征集</w:t>
      </w:r>
      <w:r>
        <w:rPr>
          <w:rFonts w:ascii="Times New Roman" w:hAnsi="Times New Roman" w:cs="Times New Roman"/>
          <w:sz w:val="24"/>
          <w:szCs w:val="24"/>
        </w:rPr>
        <w:t>2019</w:t>
      </w:r>
      <w:r>
        <w:rPr>
          <w:rFonts w:ascii="Times New Roman" w:cs="Times New Roman" w:hAnsiTheme="minorEastAsia"/>
          <w:sz w:val="24"/>
          <w:szCs w:val="24"/>
        </w:rPr>
        <w:t>年钢材深加工及应用服役领域团体标准项目的通知</w:t>
      </w:r>
      <w:r>
        <w:rPr>
          <w:rFonts w:ascii="Times New Roman" w:hAnsi="Times New Roman" w:cs="Times New Roman"/>
          <w:sz w:val="24"/>
          <w:szCs w:val="24"/>
        </w:rPr>
        <w:t>”</w:t>
      </w:r>
      <w:r>
        <w:rPr>
          <w:rFonts w:ascii="Times New Roman" w:cs="Times New Roman" w:hAnsiTheme="minorEastAsia"/>
          <w:sz w:val="24"/>
          <w:szCs w:val="24"/>
        </w:rPr>
        <w:t>下达的项目计划，</w:t>
      </w:r>
      <w:r>
        <w:rPr>
          <w:rFonts w:hint="eastAsia"/>
          <w:sz w:val="24"/>
          <w:szCs w:val="24"/>
        </w:rPr>
        <w:t>项目计划号为</w:t>
      </w:r>
      <w:r>
        <w:rPr>
          <w:rFonts w:ascii="Times New Roman" w:cs="Times New Roman" w:hAnsiTheme="minorEastAsia"/>
          <w:sz w:val="24"/>
          <w:szCs w:val="24"/>
        </w:rPr>
        <w:t>CSM5-2020</w:t>
      </w:r>
      <w:r>
        <w:rPr>
          <w:rFonts w:hint="eastAsia" w:ascii="Times New Roman" w:cs="Times New Roman" w:hAnsiTheme="minorEastAsia"/>
          <w:sz w:val="24"/>
          <w:szCs w:val="24"/>
        </w:rPr>
        <w:t>，</w:t>
      </w:r>
      <w:r>
        <w:rPr>
          <w:rFonts w:ascii="Times New Roman" w:cs="Times New Roman" w:hAnsiTheme="minorEastAsia"/>
          <w:sz w:val="24"/>
          <w:szCs w:val="24"/>
        </w:rPr>
        <w:t>项目的名称为</w:t>
      </w:r>
      <w:r>
        <w:rPr>
          <w:rFonts w:ascii="Times New Roman" w:hAnsi="Times New Roman" w:cs="Times New Roman"/>
          <w:sz w:val="24"/>
          <w:szCs w:val="24"/>
        </w:rPr>
        <w:t>“</w:t>
      </w:r>
      <w:r>
        <w:rPr>
          <w:rFonts w:ascii="Times New Roman" w:cs="Times New Roman" w:hAnsiTheme="minorEastAsia"/>
          <w:sz w:val="24"/>
          <w:szCs w:val="24"/>
        </w:rPr>
        <w:t>汽车用冷轧钢板电泳漆膜耐剥离性能电化学测试方法</w:t>
      </w:r>
      <w:r>
        <w:rPr>
          <w:rFonts w:ascii="Times New Roman" w:hAnsi="Times New Roman" w:cs="Times New Roman"/>
          <w:sz w:val="24"/>
          <w:szCs w:val="24"/>
        </w:rPr>
        <w:t>”</w:t>
      </w:r>
      <w:r>
        <w:rPr>
          <w:rFonts w:ascii="Times New Roman" w:cs="Times New Roman" w:hAnsiTheme="minorEastAsia"/>
          <w:sz w:val="24"/>
          <w:szCs w:val="24"/>
        </w:rPr>
        <w:t>。本项目是制定项目，主要起草单位：首钢集团有限公司，计划完成时间为</w:t>
      </w:r>
      <w:r>
        <w:rPr>
          <w:rFonts w:ascii="Times New Roman" w:hAnsi="Times New Roman" w:cs="Times New Roman"/>
          <w:color w:val="auto"/>
          <w:sz w:val="24"/>
          <w:szCs w:val="24"/>
        </w:rPr>
        <w:t>202</w:t>
      </w:r>
      <w:r>
        <w:rPr>
          <w:rFonts w:hint="eastAsia" w:ascii="Times New Roman" w:hAnsi="Times New Roman" w:cs="Times New Roman"/>
          <w:color w:val="auto"/>
          <w:sz w:val="24"/>
          <w:szCs w:val="24"/>
          <w:lang w:val="en-US" w:eastAsia="zh-CN"/>
        </w:rPr>
        <w:t>1</w:t>
      </w:r>
      <w:r>
        <w:rPr>
          <w:rFonts w:ascii="Times New Roman" w:cs="Times New Roman" w:hAnsiTheme="minorEastAsia"/>
          <w:sz w:val="24"/>
          <w:szCs w:val="24"/>
        </w:rPr>
        <w:t>年。</w:t>
      </w:r>
    </w:p>
    <w:p>
      <w:pPr>
        <w:snapToGrid w:val="0"/>
        <w:jc w:val="left"/>
        <w:rPr>
          <w:rFonts w:ascii="Times New Roman" w:hAnsi="Times New Roman" w:eastAsia="黑体" w:cs="Times New Roman"/>
          <w:sz w:val="24"/>
          <w:szCs w:val="24"/>
        </w:rPr>
      </w:pPr>
      <w:r>
        <w:rPr>
          <w:rFonts w:ascii="Times New Roman" w:hAnsi="Times New Roman" w:eastAsia="黑体" w:cs="Times New Roman"/>
          <w:sz w:val="24"/>
          <w:szCs w:val="24"/>
        </w:rPr>
        <w:t>2.</w:t>
      </w:r>
      <w:r>
        <w:rPr>
          <w:rFonts w:ascii="Times New Roman" w:hAnsi="黑体" w:eastAsia="黑体" w:cs="Times New Roman"/>
          <w:sz w:val="24"/>
          <w:szCs w:val="24"/>
        </w:rPr>
        <w:t>标准化对象简要情况</w:t>
      </w:r>
    </w:p>
    <w:p>
      <w:pPr>
        <w:snapToGrid w:val="0"/>
        <w:ind w:firstLine="480" w:firstLineChars="200"/>
        <w:jc w:val="left"/>
        <w:rPr>
          <w:rFonts w:ascii="Times New Roman" w:hAnsi="Times New Roman" w:cs="Times New Roman"/>
          <w:sz w:val="24"/>
          <w:szCs w:val="24"/>
        </w:rPr>
      </w:pPr>
      <w:r>
        <w:rPr>
          <w:rFonts w:ascii="Times New Roman" w:cs="Times New Roman" w:hAnsiTheme="minorEastAsia"/>
          <w:sz w:val="24"/>
          <w:szCs w:val="24"/>
        </w:rPr>
        <w:t>本标准用于评价汽车用冷轧钢板电泳漆膜耐剥离性能。</w:t>
      </w:r>
    </w:p>
    <w:p>
      <w:pPr>
        <w:snapToGrid w:val="0"/>
        <w:ind w:firstLine="480" w:firstLineChars="200"/>
        <w:jc w:val="left"/>
        <w:rPr>
          <w:rFonts w:ascii="Times New Roman" w:hAnsi="Times New Roman" w:cs="Times New Roman"/>
          <w:sz w:val="24"/>
          <w:szCs w:val="24"/>
        </w:rPr>
      </w:pPr>
      <w:r>
        <w:rPr>
          <w:rFonts w:ascii="Times New Roman" w:cs="Times New Roman" w:hAnsiTheme="minorEastAsia"/>
          <w:sz w:val="24"/>
          <w:szCs w:val="24"/>
        </w:rPr>
        <w:t>汽车在其服役周期内长期暴露在复杂的大气环境中，与大气中的各种气体、灰尘、水、溶雪盐和其他腐蚀性物质长期接触，车身用钢表面易发生电化学腐蚀，阴极电泳是提高车身金属抗腐蚀能力的主要手段。电泳漆膜必须具有极优良的耐腐蚀性、耐渗透性、耐酸耐碱性、以及耐剥离性等。电泳漆膜的耐剥离性能直接影响整车的耐腐蚀性能，因此对冷轧汽车用钢电泳漆膜耐剥离性能的测试非常重要。</w:t>
      </w:r>
    </w:p>
    <w:p>
      <w:pPr>
        <w:snapToGrid w:val="0"/>
        <w:ind w:firstLine="480" w:firstLineChars="200"/>
        <w:jc w:val="left"/>
        <w:rPr>
          <w:rFonts w:ascii="Times New Roman" w:hAnsi="Times New Roman" w:cs="Times New Roman"/>
          <w:sz w:val="24"/>
          <w:szCs w:val="24"/>
        </w:rPr>
      </w:pPr>
      <w:r>
        <w:rPr>
          <w:rFonts w:ascii="Times New Roman" w:cs="Times New Roman" w:hAnsiTheme="minorEastAsia"/>
          <w:sz w:val="24"/>
          <w:szCs w:val="24"/>
        </w:rPr>
        <w:t>目前的国家标准中没有单独针对汽车用钢电泳漆膜耐剥离性能的评价方法。通过资料检索发现，国家标准</w:t>
      </w:r>
      <w:r>
        <w:rPr>
          <w:rFonts w:ascii="Times New Roman" w:hAnsi="Times New Roman" w:cs="Times New Roman"/>
          <w:sz w:val="24"/>
          <w:szCs w:val="24"/>
        </w:rPr>
        <w:t>GB/</w:t>
      </w:r>
      <w:r>
        <w:rPr>
          <w:rFonts w:hint="eastAsia" w:ascii="Times New Roman" w:hAnsi="Times New Roman" w:cs="Times New Roman"/>
          <w:sz w:val="24"/>
          <w:szCs w:val="24"/>
        </w:rPr>
        <w:t xml:space="preserve">T </w:t>
      </w:r>
      <w:r>
        <w:rPr>
          <w:rFonts w:ascii="Times New Roman" w:hAnsi="Times New Roman" w:cs="Times New Roman"/>
          <w:sz w:val="24"/>
          <w:szCs w:val="24"/>
        </w:rPr>
        <w:t>7790-2008</w:t>
      </w:r>
      <w:r>
        <w:rPr>
          <w:rFonts w:ascii="Times New Roman" w:cs="Times New Roman" w:hAnsiTheme="minorEastAsia"/>
          <w:sz w:val="24"/>
          <w:szCs w:val="24"/>
        </w:rPr>
        <w:t>《色漆和清漆暴露在海水中的涂层耐阴极剥离性能的测定》介绍了在海洋环境中船舶和海洋结构物单层或多层保护涂料在阴极保护下阴极剥离性的实验方法。该标准明确指出不适用于评估陆地结构物上的涂层。</w:t>
      </w:r>
    </w:p>
    <w:p>
      <w:pPr>
        <w:snapToGrid w:val="0"/>
        <w:jc w:val="left"/>
        <w:rPr>
          <w:rFonts w:ascii="Times New Roman" w:hAnsi="Times New Roman" w:eastAsia="黑体" w:cs="Times New Roman"/>
          <w:sz w:val="24"/>
          <w:szCs w:val="24"/>
        </w:rPr>
      </w:pPr>
      <w:r>
        <w:rPr>
          <w:rFonts w:ascii="Times New Roman" w:hAnsi="Times New Roman" w:eastAsia="黑体" w:cs="Times New Roman"/>
          <w:sz w:val="24"/>
          <w:szCs w:val="24"/>
        </w:rPr>
        <w:t>3.</w:t>
      </w:r>
      <w:r>
        <w:rPr>
          <w:rFonts w:ascii="Times New Roman" w:hAnsi="黑体" w:eastAsia="黑体" w:cs="Times New Roman"/>
          <w:sz w:val="24"/>
          <w:szCs w:val="24"/>
        </w:rPr>
        <w:t>主要工作过程</w:t>
      </w:r>
    </w:p>
    <w:p>
      <w:pPr>
        <w:snapToGrid w:val="0"/>
        <w:ind w:firstLine="480" w:firstLineChars="200"/>
        <w:rPr>
          <w:rFonts w:ascii="Times New Roman" w:cs="Times New Roman" w:hAnsiTheme="minorEastAsia"/>
          <w:sz w:val="24"/>
          <w:szCs w:val="24"/>
        </w:rPr>
      </w:pPr>
      <w:r>
        <w:rPr>
          <w:rFonts w:hint="eastAsia" w:ascii="Times New Roman" w:cs="Times New Roman" w:hAnsiTheme="minorEastAsia"/>
          <w:sz w:val="24"/>
          <w:szCs w:val="24"/>
        </w:rPr>
        <w:t>计划下达后，由首钢集团有限公司成立了标准编制工作组，负责主要起草工作，工作组对国内外有机涂层阴极剥离技术现状与发展情况进行全面调研，同时广泛收集相关标准和国内外技术资料，进行了大量的研究分析、资料查证工作，结合实际应用经验，进行全面总结和归纳，在此基础上编制出《</w:t>
      </w:r>
      <w:r>
        <w:rPr>
          <w:rFonts w:ascii="Times New Roman" w:cs="Times New Roman" w:hAnsiTheme="minorEastAsia"/>
          <w:sz w:val="24"/>
          <w:szCs w:val="24"/>
        </w:rPr>
        <w:t>汽车用冷轧钢板电泳漆膜耐剥离性能电化学测试方法</w:t>
      </w:r>
      <w:r>
        <w:rPr>
          <w:rFonts w:hint="eastAsia" w:ascii="Times New Roman" w:cs="Times New Roman" w:hAnsiTheme="minorEastAsia"/>
          <w:sz w:val="24"/>
          <w:szCs w:val="24"/>
        </w:rPr>
        <w:t>》标准草案初稿。经工作组及有关专家研讨后，对标准草案初稿进行了认真的修改，于</w:t>
      </w:r>
      <w:r>
        <w:rPr>
          <w:rFonts w:hint="eastAsia" w:ascii="Times New Roman" w:cs="Times New Roman" w:hAnsiTheme="minorEastAsia"/>
          <w:color w:val="auto"/>
          <w:sz w:val="24"/>
          <w:szCs w:val="24"/>
        </w:rPr>
        <w:t>202</w:t>
      </w:r>
      <w:r>
        <w:rPr>
          <w:rFonts w:hint="eastAsia" w:ascii="Times New Roman" w:cs="Times New Roman" w:hAnsiTheme="minorEastAsia"/>
          <w:color w:val="auto"/>
          <w:sz w:val="24"/>
          <w:szCs w:val="24"/>
          <w:lang w:eastAsia="zh-CN"/>
        </w:rPr>
        <w:t>1</w:t>
      </w:r>
      <w:r>
        <w:rPr>
          <w:rFonts w:hint="eastAsia" w:ascii="Times New Roman" w:cs="Times New Roman" w:hAnsiTheme="minorEastAsia"/>
          <w:color w:val="auto"/>
          <w:sz w:val="24"/>
          <w:szCs w:val="24"/>
        </w:rPr>
        <w:t>年</w:t>
      </w:r>
      <w:r>
        <w:rPr>
          <w:rFonts w:hint="eastAsia" w:ascii="Times New Roman" w:cs="Times New Roman" w:hAnsiTheme="minorEastAsia"/>
          <w:color w:val="auto"/>
          <w:sz w:val="24"/>
          <w:szCs w:val="24"/>
          <w:lang w:val="en-US" w:eastAsia="zh-CN"/>
        </w:rPr>
        <w:t>4</w:t>
      </w:r>
      <w:r>
        <w:rPr>
          <w:rFonts w:hint="eastAsia" w:ascii="Times New Roman" w:cs="Times New Roman" w:hAnsiTheme="minorEastAsia"/>
          <w:color w:val="auto"/>
          <w:sz w:val="24"/>
          <w:szCs w:val="24"/>
        </w:rPr>
        <w:t>月</w:t>
      </w:r>
      <w:r>
        <w:rPr>
          <w:rFonts w:hint="eastAsia" w:ascii="Times New Roman" w:cs="Times New Roman" w:hAnsiTheme="minorEastAsia"/>
          <w:sz w:val="24"/>
          <w:szCs w:val="24"/>
        </w:rPr>
        <w:t>形成了标准征求意见稿及其编制说明等相关附件，报中国金属学会钢材深加工及应用服役标准化委员会秘书处。</w:t>
      </w:r>
    </w:p>
    <w:p>
      <w:pPr>
        <w:snapToGrid w:val="0"/>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4</w:t>
      </w:r>
      <w:r>
        <w:rPr>
          <w:rFonts w:ascii="Times New Roman" w:hAnsi="Times New Roman" w:eastAsia="黑体" w:cs="Times New Roman"/>
          <w:sz w:val="24"/>
          <w:szCs w:val="24"/>
        </w:rPr>
        <w:t>.</w:t>
      </w:r>
      <w:r>
        <w:rPr>
          <w:rFonts w:hint="eastAsia" w:ascii="Times New Roman" w:hAnsi="黑体" w:eastAsia="黑体" w:cs="Times New Roman"/>
          <w:sz w:val="24"/>
          <w:szCs w:val="24"/>
        </w:rPr>
        <w:t>主要参加单位和工作组成员及其所做的工作</w:t>
      </w:r>
    </w:p>
    <w:p>
      <w:pPr>
        <w:pStyle w:val="12"/>
        <w:snapToGrid w:val="0"/>
        <w:ind w:firstLine="480"/>
        <w:rPr>
          <w:rFonts w:ascii="Times New Roman" w:cs="Times New Roman" w:hAnsiTheme="minorEastAsia"/>
          <w:sz w:val="24"/>
          <w:szCs w:val="24"/>
        </w:rPr>
      </w:pPr>
      <w:r>
        <w:rPr>
          <w:rFonts w:hint="eastAsia" w:ascii="Times New Roman" w:hAnsi="Times New Roman" w:cs="Times New Roman"/>
          <w:sz w:val="24"/>
          <w:szCs w:val="24"/>
        </w:rPr>
        <w:t>本标准由首钢集团有限公司起草，主要成员：</w:t>
      </w:r>
      <w:r>
        <w:rPr>
          <w:rFonts w:hint="eastAsia" w:ascii="Times New Roman" w:cs="Times New Roman" w:hAnsiTheme="minorEastAsia"/>
          <w:sz w:val="24"/>
          <w:szCs w:val="24"/>
        </w:rPr>
        <w:t>黎敏、蔡宁、唐牧、曹建平、李学涛、郝玉林、姚士聪、龙袁。</w:t>
      </w:r>
    </w:p>
    <w:p>
      <w:pPr>
        <w:pStyle w:val="12"/>
        <w:snapToGrid w:val="0"/>
        <w:ind w:firstLine="480"/>
        <w:rPr>
          <w:rFonts w:ascii="Times New Roman" w:cs="Times New Roman" w:hAnsiTheme="minorEastAsia"/>
          <w:sz w:val="24"/>
          <w:szCs w:val="24"/>
        </w:rPr>
      </w:pPr>
      <w:r>
        <w:rPr>
          <w:rFonts w:hint="eastAsia" w:ascii="Times New Roman" w:cs="Times New Roman" w:hAnsiTheme="minorEastAsia"/>
          <w:sz w:val="24"/>
          <w:szCs w:val="24"/>
        </w:rPr>
        <w:t>所做的工作：黎敏为本标准的主要执笔人，负责本标准的具体起草与编制，负责对各阶段标准的审核，曹建平、蔡宁负责国内外相关技术文献和资料的收集、分析及资料查证；唐牧负责对标准进行审核和修改，李学涛、郝玉林对相关实验数据进行分析整理，姚士聪、龙袁负责对各方面的意见及建议进行归纳、整理。</w:t>
      </w:r>
    </w:p>
    <w:p>
      <w:pPr>
        <w:snapToGrid w:val="0"/>
        <w:jc w:val="left"/>
        <w:rPr>
          <w:rFonts w:ascii="Times New Roman" w:hAnsi="黑体" w:eastAsia="黑体" w:cs="Times New Roman"/>
          <w:sz w:val="24"/>
          <w:szCs w:val="24"/>
        </w:rPr>
      </w:pPr>
    </w:p>
    <w:p>
      <w:pPr>
        <w:snapToGrid w:val="0"/>
        <w:jc w:val="left"/>
        <w:rPr>
          <w:rFonts w:ascii="Times New Roman" w:hAnsi="Times New Roman" w:eastAsia="黑体" w:cs="Times New Roman"/>
          <w:sz w:val="24"/>
          <w:szCs w:val="24"/>
        </w:rPr>
      </w:pPr>
      <w:r>
        <w:rPr>
          <w:rFonts w:hint="eastAsia" w:ascii="Times New Roman" w:hAnsi="黑体" w:eastAsia="黑体" w:cs="Times New Roman"/>
          <w:sz w:val="24"/>
          <w:szCs w:val="24"/>
        </w:rPr>
        <w:t>二</w:t>
      </w:r>
      <w:r>
        <w:rPr>
          <w:rFonts w:ascii="Times New Roman" w:hAnsi="黑体" w:eastAsia="黑体" w:cs="Times New Roman"/>
          <w:sz w:val="24"/>
          <w:szCs w:val="24"/>
        </w:rPr>
        <w:t>、</w:t>
      </w:r>
      <w:r>
        <w:rPr>
          <w:rFonts w:hint="eastAsia" w:ascii="Times New Roman" w:hAnsi="黑体" w:eastAsia="黑体" w:cs="Times New Roman"/>
          <w:sz w:val="24"/>
          <w:szCs w:val="24"/>
        </w:rPr>
        <w:t>标准编制原则</w:t>
      </w:r>
    </w:p>
    <w:p>
      <w:pPr>
        <w:snapToGrid w:val="0"/>
        <w:ind w:firstLine="480" w:firstLineChars="200"/>
        <w:jc w:val="left"/>
        <w:rPr>
          <w:rFonts w:ascii="Times New Roman" w:cs="Times New Roman" w:hAnsiTheme="minorEastAsia"/>
          <w:sz w:val="24"/>
          <w:szCs w:val="24"/>
        </w:rPr>
      </w:pPr>
      <w:r>
        <w:rPr>
          <w:rFonts w:hint="eastAsia" w:ascii="Times New Roman" w:cs="Times New Roman" w:hAnsiTheme="minorEastAsia"/>
          <w:sz w:val="24"/>
          <w:szCs w:val="24"/>
        </w:rPr>
        <w:t>本标准在制定的过程中，遵循“面向市场、服务产业、自主制定、适时推出、及时修订、不断完善”的原则，注重标准修订与技术创新、试验验证、产业推进、应用推广相结合，本着先进性、科学性、合理性和可操作性以及标准的目标、统一性、协调性、适用性、一致性和规范性的原则来进行本标准的制定工作。</w:t>
      </w:r>
    </w:p>
    <w:p>
      <w:pPr>
        <w:snapToGrid w:val="0"/>
        <w:ind w:firstLine="480" w:firstLineChars="200"/>
        <w:jc w:val="left"/>
        <w:rPr>
          <w:rFonts w:ascii="Times New Roman" w:cs="Times New Roman" w:hAnsiTheme="minorEastAsia"/>
          <w:sz w:val="24"/>
          <w:szCs w:val="24"/>
        </w:rPr>
      </w:pPr>
      <w:r>
        <w:rPr>
          <w:rFonts w:hint="eastAsia" w:ascii="Times New Roman" w:cs="Times New Roman" w:hAnsiTheme="minorEastAsia"/>
          <w:sz w:val="24"/>
          <w:szCs w:val="24"/>
        </w:rPr>
        <w:t>本标准在起草过程中主要按GB/T1.1-2009《标准化工作导则第1部分：标准的结构和编写规则》的要求编写。在确定本标准主要技术指标时，综合考虑生产企业的能力和用户的利益，寻求最大的经济、社会效益，充分体现了标准在技术上的先进性和合理性。</w:t>
      </w:r>
    </w:p>
    <w:p>
      <w:pPr>
        <w:snapToGrid w:val="0"/>
        <w:jc w:val="left"/>
        <w:rPr>
          <w:rFonts w:ascii="Times New Roman" w:hAnsi="黑体" w:eastAsia="黑体" w:cs="Times New Roman"/>
          <w:sz w:val="24"/>
          <w:szCs w:val="24"/>
        </w:rPr>
      </w:pPr>
    </w:p>
    <w:p>
      <w:pPr>
        <w:snapToGrid w:val="0"/>
        <w:jc w:val="left"/>
        <w:rPr>
          <w:rFonts w:ascii="Times New Roman" w:hAnsi="Times New Roman" w:eastAsia="黑体" w:cs="Times New Roman"/>
          <w:sz w:val="24"/>
          <w:szCs w:val="24"/>
        </w:rPr>
      </w:pPr>
      <w:r>
        <w:rPr>
          <w:rFonts w:hint="eastAsia" w:ascii="Times New Roman" w:hAnsi="黑体" w:eastAsia="黑体" w:cs="Times New Roman"/>
          <w:sz w:val="24"/>
          <w:szCs w:val="24"/>
        </w:rPr>
        <w:t>三</w:t>
      </w:r>
      <w:r>
        <w:rPr>
          <w:rFonts w:ascii="Times New Roman" w:hAnsi="黑体" w:eastAsia="黑体" w:cs="Times New Roman"/>
          <w:sz w:val="24"/>
          <w:szCs w:val="24"/>
        </w:rPr>
        <w:t>、</w:t>
      </w:r>
      <w:r>
        <w:rPr>
          <w:rFonts w:hint="eastAsia" w:ascii="Times New Roman" w:hAnsi="黑体" w:eastAsia="黑体" w:cs="Times New Roman"/>
          <w:sz w:val="24"/>
          <w:szCs w:val="24"/>
        </w:rPr>
        <w:t>主要内容说明</w:t>
      </w:r>
    </w:p>
    <w:p>
      <w:pPr>
        <w:snapToGrid w:val="0"/>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1</w:t>
      </w:r>
      <w:r>
        <w:rPr>
          <w:rFonts w:ascii="Times New Roman" w:hAnsi="Times New Roman" w:eastAsia="黑体" w:cs="Times New Roman"/>
          <w:sz w:val="24"/>
          <w:szCs w:val="24"/>
        </w:rPr>
        <w:t>.</w:t>
      </w:r>
      <w:r>
        <w:rPr>
          <w:rFonts w:hint="eastAsia" w:ascii="Times New Roman" w:hAnsi="黑体" w:eastAsia="黑体" w:cs="Times New Roman"/>
          <w:sz w:val="24"/>
          <w:szCs w:val="24"/>
        </w:rPr>
        <w:t>标准主要内容</w:t>
      </w:r>
    </w:p>
    <w:p>
      <w:pPr>
        <w:snapToGrid w:val="0"/>
        <w:ind w:firstLine="480" w:firstLineChars="200"/>
        <w:jc w:val="left"/>
        <w:rPr>
          <w:rFonts w:ascii="Times New Roman" w:cs="Times New Roman" w:hAnsiTheme="minorEastAsia"/>
          <w:sz w:val="24"/>
          <w:szCs w:val="24"/>
        </w:rPr>
      </w:pPr>
      <w:r>
        <w:rPr>
          <w:rFonts w:hint="eastAsia" w:ascii="Times New Roman" w:cs="Times New Roman" w:hAnsiTheme="minorEastAsia"/>
          <w:sz w:val="24"/>
          <w:szCs w:val="24"/>
        </w:rPr>
        <w:t>见表1</w:t>
      </w:r>
    </w:p>
    <w:p>
      <w:pPr>
        <w:pStyle w:val="15"/>
        <w:snapToGrid w:val="0"/>
        <w:spacing w:line="240" w:lineRule="auto"/>
        <w:ind w:firstLine="480"/>
        <w:rPr>
          <w:rFonts w:ascii="黑体" w:hAnsi="黑体" w:eastAsia="黑体" w:cs="黑体"/>
          <w:sz w:val="24"/>
          <w:szCs w:val="24"/>
        </w:rPr>
      </w:pPr>
      <w:r>
        <w:rPr>
          <w:rFonts w:hint="eastAsia" w:ascii="黑体" w:hAnsi="黑体" w:eastAsia="黑体" w:cs="黑体"/>
          <w:sz w:val="24"/>
          <w:szCs w:val="24"/>
        </w:rPr>
        <w:t>表 1</w:t>
      </w:r>
      <w:r>
        <w:rPr>
          <w:rFonts w:ascii="黑体" w:hAnsi="黑体" w:eastAsia="黑体" w:cs="黑体"/>
          <w:sz w:val="24"/>
          <w:szCs w:val="24"/>
        </w:rPr>
        <w:t>汽车用冷轧钢板电泳漆膜耐剥离性能电化学测试方法</w:t>
      </w:r>
    </w:p>
    <w:tbl>
      <w:tblPr>
        <w:tblStyle w:val="7"/>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52"/>
        <w:gridCol w:w="1766"/>
        <w:gridCol w:w="600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center"/>
              <w:rPr>
                <w:rFonts w:ascii="Times New Roman" w:cs="Times New Roman" w:hAnsiTheme="minorEastAsia"/>
                <w:b/>
                <w:sz w:val="24"/>
                <w:szCs w:val="24"/>
              </w:rPr>
            </w:pPr>
            <w:r>
              <w:rPr>
                <w:rFonts w:hint="eastAsia" w:ascii="Times New Roman" w:cs="Times New Roman" w:hAnsiTheme="minorEastAsia"/>
                <w:b/>
                <w:sz w:val="24"/>
                <w:szCs w:val="24"/>
              </w:rPr>
              <w:t>条目</w:t>
            </w:r>
          </w:p>
        </w:tc>
        <w:tc>
          <w:tcPr>
            <w:tcW w:w="1766" w:type="dxa"/>
          </w:tcPr>
          <w:p>
            <w:pPr>
              <w:snapToGrid w:val="0"/>
              <w:jc w:val="center"/>
              <w:rPr>
                <w:rFonts w:ascii="Times New Roman" w:cs="Times New Roman" w:hAnsiTheme="minorEastAsia"/>
                <w:b/>
                <w:sz w:val="24"/>
                <w:szCs w:val="24"/>
              </w:rPr>
            </w:pPr>
            <w:r>
              <w:rPr>
                <w:rFonts w:hint="eastAsia" w:ascii="Times New Roman" w:cs="Times New Roman" w:hAnsiTheme="minorEastAsia"/>
                <w:b/>
                <w:sz w:val="24"/>
                <w:szCs w:val="24"/>
              </w:rPr>
              <w:t>内容</w:t>
            </w:r>
          </w:p>
        </w:tc>
        <w:tc>
          <w:tcPr>
            <w:tcW w:w="6004" w:type="dxa"/>
          </w:tcPr>
          <w:p>
            <w:pPr>
              <w:snapToGrid w:val="0"/>
              <w:jc w:val="center"/>
              <w:rPr>
                <w:rFonts w:ascii="Times New Roman" w:cs="Times New Roman" w:hAnsiTheme="minorEastAsia"/>
                <w:b/>
                <w:sz w:val="24"/>
                <w:szCs w:val="24"/>
              </w:rPr>
            </w:pPr>
            <w:r>
              <w:rPr>
                <w:rFonts w:hint="eastAsia" w:ascii="Times New Roman" w:cs="Times New Roman" w:hAnsiTheme="minorEastAsia"/>
                <w:b/>
                <w:sz w:val="24"/>
                <w:szCs w:val="24"/>
              </w:rPr>
              <w:t>说明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1</w:t>
            </w:r>
          </w:p>
        </w:tc>
        <w:tc>
          <w:tcPr>
            <w:tcW w:w="1766"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范围</w:t>
            </w:r>
          </w:p>
        </w:tc>
        <w:tc>
          <w:tcPr>
            <w:tcW w:w="6004" w:type="dxa"/>
          </w:tcPr>
          <w:p>
            <w:pPr>
              <w:snapToGrid w:val="0"/>
              <w:jc w:val="left"/>
              <w:rPr>
                <w:rFonts w:ascii="Times New Roman" w:cs="Times New Roman" w:hAnsiTheme="minorEastAsia"/>
                <w:sz w:val="24"/>
                <w:szCs w:val="24"/>
              </w:rPr>
            </w:pPr>
            <w:r>
              <w:rPr>
                <w:rFonts w:cs="Times New Roman" w:hAnsiTheme="minorEastAsia"/>
                <w:sz w:val="24"/>
                <w:szCs w:val="24"/>
              </w:rPr>
              <w:t>本标准规定了一种在盐溶液中采用恒电流加速评价汽车用冷轧钢板电泳漆膜耐剥离性能的方法。冷轧汽车板主要包括无镀层连退板和如下镀层材料（GA合金化镀锌板、GI热镀锌板、EG电镀锌板、ZM锌铝镁镀层）</w:t>
            </w:r>
            <w:r>
              <w:rPr>
                <w:rFonts w:hint="eastAsia" w:cs="Times New Roman" w:hAnsiTheme="minorEastAsia"/>
                <w:sz w:val="24"/>
                <w:szCs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2</w:t>
            </w:r>
          </w:p>
        </w:tc>
        <w:tc>
          <w:tcPr>
            <w:tcW w:w="1766" w:type="dxa"/>
          </w:tcPr>
          <w:p>
            <w:pPr>
              <w:snapToGrid w:val="0"/>
              <w:jc w:val="left"/>
              <w:rPr>
                <w:rFonts w:ascii="Times New Roman" w:cs="Times New Roman" w:hAnsiTheme="minorEastAsia"/>
                <w:sz w:val="24"/>
                <w:szCs w:val="24"/>
              </w:rPr>
            </w:pPr>
            <w:bookmarkStart w:id="0" w:name="_Toc308421849"/>
            <w:bookmarkStart w:id="1" w:name="_Toc308422990"/>
            <w:bookmarkStart w:id="2" w:name="_Toc308423007"/>
            <w:bookmarkStart w:id="3" w:name="_Toc308422066"/>
            <w:bookmarkStart w:id="4" w:name="_Toc308423053"/>
            <w:r>
              <w:rPr>
                <w:rFonts w:ascii="Times New Roman" w:cs="Times New Roman" w:hAnsiTheme="minorEastAsia"/>
                <w:sz w:val="24"/>
                <w:szCs w:val="24"/>
              </w:rPr>
              <w:t>规范性引用文件</w:t>
            </w:r>
            <w:bookmarkEnd w:id="0"/>
            <w:bookmarkEnd w:id="1"/>
            <w:bookmarkEnd w:id="2"/>
            <w:bookmarkEnd w:id="3"/>
            <w:bookmarkEnd w:id="4"/>
          </w:p>
        </w:tc>
        <w:tc>
          <w:tcPr>
            <w:tcW w:w="6004" w:type="dxa"/>
          </w:tcPr>
          <w:p>
            <w:pPr>
              <w:snapToGrid w:val="0"/>
              <w:jc w:val="left"/>
              <w:rPr>
                <w:rFonts w:ascii="Times New Roman" w:cs="Times New Roman" w:hAnsiTheme="minorEastAsia"/>
                <w:sz w:val="24"/>
                <w:szCs w:val="24"/>
              </w:rPr>
            </w:pPr>
            <w:r>
              <w:rPr>
                <w:rFonts w:hint="eastAsia" w:cs="Times New Roman" w:hAnsiTheme="minorEastAsia"/>
                <w:sz w:val="24"/>
                <w:szCs w:val="24"/>
              </w:rPr>
              <w:t>规定了本标准引用的相关文件，在使用本标准时，除了应遵守标准本身的规定外，还应遵守“规范性引用文件”中引用的文件或其条款规定。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3</w:t>
            </w:r>
          </w:p>
        </w:tc>
        <w:tc>
          <w:tcPr>
            <w:tcW w:w="1766" w:type="dxa"/>
          </w:tcPr>
          <w:p>
            <w:pPr>
              <w:snapToGrid w:val="0"/>
              <w:jc w:val="left"/>
              <w:rPr>
                <w:rFonts w:ascii="Times New Roman" w:cs="Times New Roman" w:hAnsiTheme="minorEastAsia"/>
                <w:sz w:val="24"/>
                <w:szCs w:val="24"/>
              </w:rPr>
            </w:pPr>
            <w:r>
              <w:rPr>
                <w:rFonts w:ascii="Times New Roman" w:cs="Times New Roman" w:hAnsiTheme="minorEastAsia"/>
                <w:sz w:val="24"/>
                <w:szCs w:val="24"/>
              </w:rPr>
              <w:t>术语和定义</w:t>
            </w:r>
          </w:p>
        </w:tc>
        <w:tc>
          <w:tcPr>
            <w:tcW w:w="6004"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规定了本标准采用的相关术语的定义，规定了试验对象为冷轧汽车板电泳漆膜，</w:t>
            </w:r>
            <w:r>
              <w:rPr>
                <w:rFonts w:hint="eastAsia" w:cs="Times New Roman" w:hAnsiTheme="minorEastAsia"/>
                <w:sz w:val="24"/>
                <w:szCs w:val="24"/>
              </w:rPr>
              <w:t>冷轧汽车板在冲压后需要经过涂装前处理和电泳等涂装工序。冷轧汽车板电泳漆膜主要指其前处理膜+电泳漆膜。前处理膜可以为磷化处理、锆化处理、硅烷处理，电泳漆膜通常为阴极电泳工艺沉积。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4</w:t>
            </w:r>
          </w:p>
        </w:tc>
        <w:tc>
          <w:tcPr>
            <w:tcW w:w="1766" w:type="dxa"/>
          </w:tcPr>
          <w:p>
            <w:pPr>
              <w:snapToGrid w:val="0"/>
              <w:jc w:val="left"/>
              <w:rPr>
                <w:rFonts w:ascii="Times New Roman" w:cs="Times New Roman" w:hAnsiTheme="minorEastAsia"/>
                <w:sz w:val="24"/>
                <w:szCs w:val="24"/>
              </w:rPr>
            </w:pPr>
            <w:r>
              <w:rPr>
                <w:rFonts w:ascii="Times New Roman"/>
                <w:sz w:val="24"/>
                <w:szCs w:val="24"/>
              </w:rPr>
              <w:t>原理</w:t>
            </w:r>
          </w:p>
        </w:tc>
        <w:tc>
          <w:tcPr>
            <w:tcW w:w="6004" w:type="dxa"/>
          </w:tcPr>
          <w:p>
            <w:pPr>
              <w:snapToGrid w:val="0"/>
              <w:jc w:val="left"/>
              <w:rPr>
                <w:rFonts w:ascii="Times New Roman" w:cs="Times New Roman" w:hAnsiTheme="minorEastAsia"/>
                <w:sz w:val="24"/>
                <w:szCs w:val="24"/>
              </w:rPr>
            </w:pPr>
            <w:r>
              <w:rPr>
                <w:rFonts w:cs="Times New Roman" w:hAnsiTheme="minorEastAsia"/>
                <w:sz w:val="24"/>
                <w:szCs w:val="24"/>
              </w:rPr>
              <w:t>将有划痕的电泳漆膜汽车板（划痕破坏深度必须抵达钢板表面）作为阴极，并在电解液中施加恒定的极化电流，利用阴极反应产生的OH-离子腐蚀以及H2鼓泡作用加速电泳漆膜与钢板的物理分层，最终通过测量划痕处漆膜的剥离宽度来评价汽车用冷轧钢板电泳漆膜耐剥离性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5</w:t>
            </w:r>
          </w:p>
        </w:tc>
        <w:tc>
          <w:tcPr>
            <w:tcW w:w="1766" w:type="dxa"/>
          </w:tcPr>
          <w:p>
            <w:pPr>
              <w:snapToGrid w:val="0"/>
              <w:jc w:val="left"/>
              <w:rPr>
                <w:rFonts w:ascii="Times New Roman" w:cs="Times New Roman" w:hAnsiTheme="minorEastAsia"/>
                <w:sz w:val="24"/>
                <w:szCs w:val="24"/>
              </w:rPr>
            </w:pPr>
            <w:r>
              <w:rPr>
                <w:rFonts w:ascii="Times New Roman"/>
                <w:sz w:val="24"/>
                <w:szCs w:val="24"/>
              </w:rPr>
              <w:t>装置和材料</w:t>
            </w:r>
          </w:p>
        </w:tc>
        <w:tc>
          <w:tcPr>
            <w:tcW w:w="6004" w:type="dxa"/>
          </w:tcPr>
          <w:p>
            <w:pPr>
              <w:snapToGrid w:val="0"/>
              <w:jc w:val="left"/>
              <w:rPr>
                <w:rFonts w:cs="Times New Roman" w:hAnsiTheme="minorEastAsia"/>
                <w:sz w:val="24"/>
                <w:szCs w:val="24"/>
              </w:rPr>
            </w:pPr>
            <w:r>
              <w:rPr>
                <w:rFonts w:hint="eastAsia" w:cs="Times New Roman" w:hAnsiTheme="minorEastAsia"/>
                <w:sz w:val="24"/>
                <w:szCs w:val="24"/>
              </w:rPr>
              <w:t>规定了本标准用电化学工作站、电解槽、电极材料、取样方式、电解液等。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6</w:t>
            </w:r>
          </w:p>
        </w:tc>
        <w:tc>
          <w:tcPr>
            <w:tcW w:w="1766" w:type="dxa"/>
          </w:tcPr>
          <w:p>
            <w:pPr>
              <w:snapToGrid w:val="0"/>
              <w:jc w:val="left"/>
              <w:rPr>
                <w:rFonts w:ascii="Times New Roman" w:cs="Times New Roman" w:hAnsiTheme="minorEastAsia"/>
                <w:sz w:val="24"/>
                <w:szCs w:val="24"/>
              </w:rPr>
            </w:pPr>
            <w:r>
              <w:rPr>
                <w:rFonts w:ascii="Times New Roman"/>
                <w:sz w:val="24"/>
                <w:szCs w:val="24"/>
              </w:rPr>
              <w:t>实验步骤</w:t>
            </w:r>
          </w:p>
        </w:tc>
        <w:tc>
          <w:tcPr>
            <w:tcW w:w="6004" w:type="dxa"/>
          </w:tcPr>
          <w:p>
            <w:pPr>
              <w:snapToGrid w:val="0"/>
              <w:jc w:val="left"/>
              <w:rPr>
                <w:rFonts w:cs="Times New Roman" w:hAnsiTheme="minorEastAsia"/>
                <w:sz w:val="24"/>
                <w:szCs w:val="24"/>
              </w:rPr>
            </w:pPr>
            <w:r>
              <w:rPr>
                <w:rFonts w:hint="eastAsia" w:cs="Times New Roman" w:hAnsiTheme="minorEastAsia"/>
                <w:sz w:val="24"/>
                <w:szCs w:val="24"/>
              </w:rPr>
              <w:t>规定了本试验的试验步骤细则、试验结果评价等。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7</w:t>
            </w:r>
          </w:p>
        </w:tc>
        <w:tc>
          <w:tcPr>
            <w:tcW w:w="1766" w:type="dxa"/>
          </w:tcPr>
          <w:p>
            <w:pPr>
              <w:snapToGrid w:val="0"/>
              <w:jc w:val="left"/>
              <w:rPr>
                <w:rFonts w:ascii="Times New Roman" w:cs="Times New Roman" w:hAnsiTheme="minorEastAsia"/>
                <w:sz w:val="24"/>
                <w:szCs w:val="24"/>
              </w:rPr>
            </w:pPr>
            <w:r>
              <w:rPr>
                <w:rFonts w:ascii="Times New Roman"/>
                <w:sz w:val="24"/>
                <w:szCs w:val="24"/>
              </w:rPr>
              <w:t>精密度</w:t>
            </w:r>
          </w:p>
        </w:tc>
        <w:tc>
          <w:tcPr>
            <w:tcW w:w="6004" w:type="dxa"/>
          </w:tcPr>
          <w:p>
            <w:pPr>
              <w:snapToGrid w:val="0"/>
              <w:jc w:val="left"/>
              <w:rPr>
                <w:rFonts w:cs="Times New Roman" w:hAnsiTheme="minorEastAsia"/>
                <w:sz w:val="24"/>
                <w:szCs w:val="24"/>
              </w:rPr>
            </w:pPr>
            <w:r>
              <w:rPr>
                <w:rFonts w:hint="eastAsia" w:cs="Times New Roman" w:hAnsiTheme="minorEastAsia"/>
                <w:sz w:val="24"/>
                <w:szCs w:val="24"/>
              </w:rPr>
              <w:t>规定了精密度相关细则。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8</w:t>
            </w:r>
          </w:p>
        </w:tc>
        <w:tc>
          <w:tcPr>
            <w:tcW w:w="1766" w:type="dxa"/>
          </w:tcPr>
          <w:p>
            <w:pPr>
              <w:snapToGrid w:val="0"/>
              <w:jc w:val="left"/>
              <w:rPr>
                <w:rFonts w:ascii="Times New Roman" w:cs="Times New Roman" w:hAnsiTheme="minorEastAsia"/>
                <w:sz w:val="24"/>
                <w:szCs w:val="24"/>
              </w:rPr>
            </w:pPr>
            <w:r>
              <w:rPr>
                <w:rFonts w:ascii="Times New Roman"/>
                <w:sz w:val="24"/>
                <w:szCs w:val="24"/>
              </w:rPr>
              <w:t>实验报告</w:t>
            </w:r>
          </w:p>
        </w:tc>
        <w:tc>
          <w:tcPr>
            <w:tcW w:w="6004" w:type="dxa"/>
          </w:tcPr>
          <w:p>
            <w:pPr>
              <w:pStyle w:val="12"/>
              <w:snapToGrid w:val="0"/>
              <w:ind w:firstLine="480"/>
              <w:rPr>
                <w:rFonts w:cs="Times New Roman" w:asciiTheme="minorHAnsi" w:hAnsiTheme="minorEastAsia"/>
                <w:sz w:val="24"/>
                <w:szCs w:val="24"/>
              </w:rPr>
            </w:pPr>
            <w:r>
              <w:rPr>
                <w:rFonts w:cs="Times New Roman" w:asciiTheme="minorHAnsi" w:hAnsiTheme="minorEastAsia"/>
                <w:sz w:val="24"/>
                <w:szCs w:val="24"/>
              </w:rPr>
              <w:t>本实验报告应至少包括以下内容：</w:t>
            </w:r>
          </w:p>
          <w:p>
            <w:pPr>
              <w:pStyle w:val="12"/>
              <w:snapToGrid w:val="0"/>
              <w:ind w:firstLine="480"/>
              <w:rPr>
                <w:rFonts w:cs="Times New Roman" w:asciiTheme="minorHAnsi" w:hAnsiTheme="minorEastAsia"/>
                <w:sz w:val="24"/>
                <w:szCs w:val="24"/>
              </w:rPr>
            </w:pPr>
            <w:r>
              <w:rPr>
                <w:rFonts w:cs="Times New Roman" w:asciiTheme="minorHAnsi" w:hAnsiTheme="minorEastAsia"/>
                <w:sz w:val="24"/>
                <w:szCs w:val="24"/>
              </w:rPr>
              <w:t>1）识别受试产品所需全部细节；</w:t>
            </w:r>
          </w:p>
          <w:p>
            <w:pPr>
              <w:pStyle w:val="12"/>
              <w:snapToGrid w:val="0"/>
              <w:ind w:firstLine="480"/>
              <w:rPr>
                <w:rFonts w:cs="Times New Roman" w:asciiTheme="minorHAnsi" w:hAnsiTheme="minorEastAsia"/>
                <w:sz w:val="24"/>
                <w:szCs w:val="24"/>
              </w:rPr>
            </w:pPr>
            <w:r>
              <w:rPr>
                <w:rFonts w:cs="Times New Roman" w:asciiTheme="minorHAnsi" w:hAnsiTheme="minorEastAsia"/>
                <w:sz w:val="24"/>
                <w:szCs w:val="24"/>
              </w:rPr>
              <w:t>2）注明本标准编号；</w:t>
            </w:r>
          </w:p>
          <w:p>
            <w:pPr>
              <w:pStyle w:val="12"/>
              <w:snapToGrid w:val="0"/>
              <w:ind w:firstLine="480"/>
              <w:rPr>
                <w:rFonts w:cs="Times New Roman" w:asciiTheme="minorHAnsi" w:hAnsiTheme="minorEastAsia"/>
                <w:sz w:val="24"/>
                <w:szCs w:val="24"/>
              </w:rPr>
            </w:pPr>
            <w:r>
              <w:rPr>
                <w:rFonts w:cs="Times New Roman" w:asciiTheme="minorHAnsi" w:hAnsiTheme="minorEastAsia"/>
                <w:sz w:val="24"/>
                <w:szCs w:val="24"/>
              </w:rPr>
              <w:t>3）实验周期；</w:t>
            </w:r>
          </w:p>
          <w:p>
            <w:pPr>
              <w:pStyle w:val="12"/>
              <w:snapToGrid w:val="0"/>
              <w:ind w:firstLine="480"/>
              <w:rPr>
                <w:rFonts w:cs="Times New Roman" w:asciiTheme="minorHAnsi" w:hAnsiTheme="minorEastAsia"/>
                <w:sz w:val="24"/>
                <w:szCs w:val="24"/>
              </w:rPr>
            </w:pPr>
            <w:r>
              <w:rPr>
                <w:rFonts w:cs="Times New Roman" w:asciiTheme="minorHAnsi" w:hAnsiTheme="minorEastAsia"/>
                <w:sz w:val="24"/>
                <w:szCs w:val="24"/>
              </w:rPr>
              <w:t>4）划痕种类和划痕长度；</w:t>
            </w:r>
          </w:p>
          <w:p>
            <w:pPr>
              <w:pStyle w:val="12"/>
              <w:snapToGrid w:val="0"/>
              <w:ind w:firstLine="480"/>
              <w:rPr>
                <w:rFonts w:cs="Times New Roman" w:asciiTheme="minorHAnsi" w:hAnsiTheme="minorEastAsia"/>
                <w:sz w:val="24"/>
                <w:szCs w:val="24"/>
              </w:rPr>
            </w:pPr>
            <w:r>
              <w:rPr>
                <w:rFonts w:cs="Times New Roman" w:asciiTheme="minorHAnsi" w:hAnsiTheme="minorEastAsia"/>
                <w:sz w:val="24"/>
                <w:szCs w:val="24"/>
              </w:rPr>
              <w:t>5）按照规定的要求，报告试验结果；</w:t>
            </w:r>
          </w:p>
          <w:p>
            <w:pPr>
              <w:pStyle w:val="12"/>
              <w:snapToGrid w:val="0"/>
              <w:ind w:firstLine="480"/>
              <w:rPr>
                <w:rFonts w:cs="Times New Roman" w:asciiTheme="minorHAnsi" w:hAnsiTheme="minorEastAsia"/>
                <w:sz w:val="24"/>
                <w:szCs w:val="24"/>
              </w:rPr>
            </w:pPr>
            <w:r>
              <w:rPr>
                <w:rFonts w:cs="Times New Roman" w:asciiTheme="minorHAnsi" w:hAnsiTheme="minorEastAsia"/>
                <w:sz w:val="24"/>
                <w:szCs w:val="24"/>
              </w:rPr>
              <w:t>6）与规定的试验程序任何不同之处；</w:t>
            </w:r>
          </w:p>
          <w:p>
            <w:pPr>
              <w:pStyle w:val="12"/>
              <w:snapToGrid w:val="0"/>
              <w:ind w:firstLine="480"/>
              <w:rPr>
                <w:rFonts w:cs="Times New Roman" w:asciiTheme="minorHAnsi" w:hAnsiTheme="minorEastAsia"/>
                <w:sz w:val="24"/>
                <w:szCs w:val="24"/>
              </w:rPr>
            </w:pPr>
            <w:r>
              <w:rPr>
                <w:rFonts w:cs="Times New Roman" w:asciiTheme="minorHAnsi" w:hAnsiTheme="minorEastAsia"/>
                <w:sz w:val="24"/>
                <w:szCs w:val="24"/>
              </w:rPr>
              <w:t>7）试验日期。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52" w:type="dxa"/>
          </w:tcPr>
          <w:p>
            <w:pPr>
              <w:snapToGrid w:val="0"/>
              <w:jc w:val="left"/>
              <w:rPr>
                <w:rFonts w:ascii="Times New Roman" w:cs="Times New Roman" w:hAnsiTheme="minorEastAsia"/>
                <w:sz w:val="24"/>
                <w:szCs w:val="24"/>
              </w:rPr>
            </w:pPr>
            <w:r>
              <w:rPr>
                <w:rFonts w:hint="eastAsia" w:ascii="Times New Roman" w:cs="Times New Roman" w:hAnsiTheme="minorEastAsia"/>
                <w:sz w:val="24"/>
                <w:szCs w:val="24"/>
              </w:rPr>
              <w:t>9</w:t>
            </w:r>
          </w:p>
        </w:tc>
        <w:tc>
          <w:tcPr>
            <w:tcW w:w="1766" w:type="dxa"/>
          </w:tcPr>
          <w:p>
            <w:pPr>
              <w:snapToGrid w:val="0"/>
              <w:jc w:val="left"/>
              <w:rPr>
                <w:rFonts w:ascii="Times New Roman" w:cs="Times New Roman" w:hAnsiTheme="minorEastAsia"/>
                <w:sz w:val="24"/>
                <w:szCs w:val="24"/>
              </w:rPr>
            </w:pPr>
            <w:r>
              <w:rPr>
                <w:rFonts w:ascii="Times New Roman"/>
                <w:sz w:val="24"/>
                <w:szCs w:val="24"/>
              </w:rPr>
              <w:t>（资料性附录）</w:t>
            </w:r>
            <w:r>
              <w:rPr>
                <w:rFonts w:hint="eastAsia" w:ascii="Times New Roman"/>
                <w:sz w:val="24"/>
                <w:szCs w:val="24"/>
              </w:rPr>
              <w:t>A</w:t>
            </w:r>
          </w:p>
        </w:tc>
        <w:tc>
          <w:tcPr>
            <w:tcW w:w="6004" w:type="dxa"/>
          </w:tcPr>
          <w:p>
            <w:pPr>
              <w:snapToGrid w:val="0"/>
              <w:jc w:val="left"/>
              <w:rPr>
                <w:rFonts w:ascii="Times New Roman" w:cs="Times New Roman" w:hAnsiTheme="minorEastAsia"/>
                <w:sz w:val="24"/>
                <w:szCs w:val="24"/>
              </w:rPr>
            </w:pPr>
            <w:r>
              <w:rPr>
                <w:rFonts w:hint="eastAsia" w:cs="Times New Roman" w:hAnsiTheme="minorEastAsia"/>
                <w:sz w:val="24"/>
                <w:szCs w:val="24"/>
              </w:rPr>
              <w:t>规定了</w:t>
            </w:r>
            <w:r>
              <w:rPr>
                <w:rFonts w:cs="Times New Roman" w:hAnsiTheme="minorEastAsia"/>
                <w:sz w:val="24"/>
                <w:szCs w:val="24"/>
              </w:rPr>
              <w:t>可选择的参比电极在 25℃时相对于标准氢电极（SHE）的电位</w:t>
            </w:r>
            <w:r>
              <w:rPr>
                <w:rFonts w:hint="eastAsia" w:cs="Times New Roman" w:hAnsiTheme="minorEastAsia"/>
                <w:sz w:val="24"/>
                <w:szCs w:val="24"/>
              </w:rPr>
              <w:t>。</w:t>
            </w:r>
          </w:p>
        </w:tc>
      </w:tr>
    </w:tbl>
    <w:p>
      <w:pPr>
        <w:snapToGrid w:val="0"/>
        <w:jc w:val="left"/>
        <w:rPr>
          <w:rFonts w:ascii="Times New Roman" w:hAnsi="黑体" w:eastAsia="黑体" w:cs="Times New Roman"/>
          <w:sz w:val="24"/>
          <w:szCs w:val="24"/>
        </w:rPr>
      </w:pPr>
      <w:r>
        <w:rPr>
          <w:rFonts w:hint="eastAsia" w:ascii="Times New Roman" w:hAnsi="Times New Roman" w:eastAsia="黑体" w:cs="Times New Roman"/>
          <w:sz w:val="24"/>
          <w:szCs w:val="24"/>
        </w:rPr>
        <w:t>2</w:t>
      </w:r>
      <w:r>
        <w:rPr>
          <w:rFonts w:ascii="Times New Roman" w:hAnsi="Times New Roman" w:eastAsia="黑体" w:cs="Times New Roman"/>
          <w:sz w:val="24"/>
          <w:szCs w:val="24"/>
        </w:rPr>
        <w:t>.</w:t>
      </w:r>
      <w:r>
        <w:rPr>
          <w:rFonts w:hint="eastAsia" w:ascii="Times New Roman" w:hAnsi="黑体" w:eastAsia="黑体" w:cs="Times New Roman"/>
          <w:sz w:val="24"/>
          <w:szCs w:val="24"/>
        </w:rPr>
        <w:t>主要技术差异</w:t>
      </w:r>
    </w:p>
    <w:p>
      <w:pPr>
        <w:snapToGrid w:val="0"/>
        <w:ind w:firstLine="480" w:firstLineChars="200"/>
        <w:jc w:val="left"/>
        <w:rPr>
          <w:sz w:val="24"/>
          <w:szCs w:val="24"/>
        </w:rPr>
      </w:pPr>
      <w:r>
        <w:rPr>
          <w:rFonts w:hint="eastAsia"/>
          <w:sz w:val="24"/>
          <w:szCs w:val="24"/>
        </w:rPr>
        <w:t>本标准为初次制定，未采用国际标准</w:t>
      </w:r>
    </w:p>
    <w:p>
      <w:pPr>
        <w:snapToGrid w:val="0"/>
        <w:rPr>
          <w:rFonts w:ascii="黑体" w:hAnsi="黑体" w:eastAsia="黑体"/>
          <w:sz w:val="24"/>
          <w:szCs w:val="24"/>
        </w:rPr>
      </w:pPr>
    </w:p>
    <w:p>
      <w:pPr>
        <w:snapToGrid w:val="0"/>
        <w:rPr>
          <w:rFonts w:ascii="黑体" w:hAnsi="黑体" w:eastAsia="黑体"/>
          <w:sz w:val="24"/>
          <w:szCs w:val="24"/>
        </w:rPr>
      </w:pPr>
      <w:r>
        <w:rPr>
          <w:rFonts w:hint="eastAsia" w:ascii="黑体" w:hAnsi="黑体" w:eastAsia="黑体"/>
          <w:sz w:val="24"/>
          <w:szCs w:val="24"/>
        </w:rPr>
        <w:t>四、主要试验(或验证)情况</w:t>
      </w:r>
    </w:p>
    <w:p>
      <w:pPr>
        <w:snapToGrid w:val="0"/>
        <w:ind w:firstLine="480" w:firstLineChars="200"/>
        <w:rPr>
          <w:sz w:val="24"/>
          <w:szCs w:val="24"/>
        </w:rPr>
      </w:pPr>
      <w:r>
        <w:rPr>
          <w:rFonts w:hint="eastAsia"/>
          <w:sz w:val="24"/>
          <w:szCs w:val="24"/>
        </w:rPr>
        <w:t>本标准是</w:t>
      </w:r>
      <w:r>
        <w:rPr>
          <w:rFonts w:hint="eastAsia" w:ascii="Calibri" w:hAnsi="Calibri" w:eastAsia="宋体" w:cs="Times New Roman"/>
          <w:sz w:val="24"/>
          <w:szCs w:val="24"/>
        </w:rPr>
        <w:t>基于用户差异化的涂装产线工艺，</w:t>
      </w:r>
      <w:r>
        <w:rPr>
          <w:rFonts w:ascii="Calibri" w:hAnsi="Calibri" w:eastAsia="宋体" w:cs="Times New Roman"/>
          <w:sz w:val="24"/>
          <w:szCs w:val="24"/>
        </w:rPr>
        <w:t>并结合</w:t>
      </w:r>
      <w:r>
        <w:rPr>
          <w:rFonts w:hint="eastAsia"/>
          <w:sz w:val="24"/>
          <w:szCs w:val="24"/>
        </w:rPr>
        <w:t>首钢生产和使用经验而制订的。工作组通过对首钢生产的DC04、DX54D+Z、DX54D+ZF、DX54D+ZM进行检测，对</w:t>
      </w:r>
      <w:r>
        <w:rPr>
          <w:rFonts w:ascii="Calibri" w:hAnsi="Calibri" w:eastAsia="宋体" w:cs="Times New Roman"/>
          <w:sz w:val="24"/>
          <w:szCs w:val="24"/>
        </w:rPr>
        <w:t>汽车用冷轧钢板电泳漆膜耐剥离性能电化学测试方法</w:t>
      </w:r>
      <w:r>
        <w:rPr>
          <w:rFonts w:hint="eastAsia" w:ascii="Calibri" w:hAnsi="Calibri" w:eastAsia="宋体" w:cs="Times New Roman"/>
          <w:sz w:val="24"/>
          <w:szCs w:val="24"/>
        </w:rPr>
        <w:t xml:space="preserve">进行了验证，见表2所示 。 </w:t>
      </w:r>
    </w:p>
    <w:p>
      <w:pPr>
        <w:pStyle w:val="15"/>
        <w:snapToGrid w:val="0"/>
        <w:spacing w:line="240" w:lineRule="auto"/>
        <w:ind w:firstLine="480"/>
        <w:rPr>
          <w:rFonts w:ascii="黑体" w:hAnsi="黑体" w:eastAsia="黑体" w:cs="黑体"/>
          <w:sz w:val="24"/>
          <w:szCs w:val="24"/>
        </w:rPr>
      </w:pPr>
      <w:r>
        <w:rPr>
          <w:rFonts w:hint="eastAsia" w:ascii="黑体" w:hAnsi="黑体" w:eastAsia="黑体" w:cs="黑体"/>
          <w:sz w:val="24"/>
          <w:szCs w:val="24"/>
        </w:rPr>
        <w:t xml:space="preserve">表 2 </w:t>
      </w:r>
      <w:r>
        <w:rPr>
          <w:rFonts w:ascii="黑体" w:hAnsi="黑体" w:eastAsia="黑体" w:cs="黑体"/>
          <w:sz w:val="24"/>
          <w:szCs w:val="24"/>
        </w:rPr>
        <w:t>汽车用冷轧钢板电泳漆膜剥离</w:t>
      </w:r>
      <w:r>
        <w:rPr>
          <w:rFonts w:hint="eastAsia" w:ascii="黑体" w:hAnsi="黑体" w:eastAsia="黑体" w:cs="黑体"/>
          <w:sz w:val="24"/>
          <w:szCs w:val="24"/>
        </w:rPr>
        <w:t>距离</w:t>
      </w:r>
    </w:p>
    <w:tbl>
      <w:tblPr>
        <w:tblStyle w:val="7"/>
        <w:tblW w:w="8519" w:type="dxa"/>
        <w:jc w:val="center"/>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Layout w:type="fixed"/>
        <w:tblCellMar>
          <w:top w:w="0" w:type="dxa"/>
          <w:left w:w="108" w:type="dxa"/>
          <w:bottom w:w="0" w:type="dxa"/>
          <w:right w:w="108" w:type="dxa"/>
        </w:tblCellMar>
      </w:tblPr>
      <w:tblGrid>
        <w:gridCol w:w="1476"/>
        <w:gridCol w:w="1420"/>
        <w:gridCol w:w="1178"/>
        <w:gridCol w:w="4445"/>
      </w:tblGrid>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27" w:hRule="atLeast"/>
          <w:jc w:val="center"/>
        </w:trPr>
        <w:tc>
          <w:tcPr>
            <w:tcW w:w="1476" w:type="dxa"/>
            <w:tcBorders>
              <w:top w:val="single" w:color="auto" w:sz="12" w:space="0"/>
              <w:bottom w:val="single" w:color="000000" w:themeColor="text1" w:sz="4" w:space="0"/>
            </w:tcBorders>
            <w:vAlign w:val="center"/>
          </w:tcPr>
          <w:p>
            <w:pPr>
              <w:snapToGrid w:val="0"/>
              <w:jc w:val="center"/>
              <w:rPr>
                <w:rFonts w:ascii="Times New Roman" w:hAnsi="Times New Roman" w:eastAsia="宋体" w:cs="Times New Roman"/>
                <w:sz w:val="24"/>
                <w:szCs w:val="24"/>
              </w:rPr>
            </w:pPr>
            <w:r>
              <w:rPr>
                <w:rFonts w:ascii="Times New Roman" w:hAnsi="宋体" w:eastAsia="宋体" w:cs="Times New Roman"/>
                <w:sz w:val="24"/>
                <w:szCs w:val="24"/>
              </w:rPr>
              <w:t>钢种</w:t>
            </w:r>
          </w:p>
        </w:tc>
        <w:tc>
          <w:tcPr>
            <w:tcW w:w="1420" w:type="dxa"/>
            <w:tcBorders>
              <w:top w:val="single" w:color="auto" w:sz="12" w:space="0"/>
              <w:bottom w:val="single" w:color="000000" w:themeColor="text1" w:sz="4" w:space="0"/>
            </w:tcBorders>
            <w:vAlign w:val="center"/>
          </w:tcPr>
          <w:p>
            <w:pPr>
              <w:snapToGrid w:val="0"/>
              <w:jc w:val="center"/>
              <w:rPr>
                <w:rFonts w:ascii="Times New Roman" w:hAnsi="Times New Roman" w:eastAsia="宋体" w:cs="Times New Roman"/>
                <w:sz w:val="24"/>
                <w:szCs w:val="24"/>
              </w:rPr>
            </w:pPr>
            <w:r>
              <w:rPr>
                <w:rFonts w:ascii="Times New Roman" w:hAnsi="宋体" w:eastAsia="宋体" w:cs="Times New Roman"/>
                <w:sz w:val="24"/>
                <w:szCs w:val="24"/>
              </w:rPr>
              <w:t>前处理</w:t>
            </w:r>
            <w:r>
              <w:rPr>
                <w:rFonts w:hint="eastAsia" w:ascii="Times New Roman" w:hAnsi="宋体" w:eastAsia="宋体" w:cs="Times New Roman"/>
                <w:sz w:val="24"/>
                <w:szCs w:val="24"/>
              </w:rPr>
              <w:t>工艺</w:t>
            </w:r>
          </w:p>
        </w:tc>
        <w:tc>
          <w:tcPr>
            <w:tcW w:w="1178" w:type="dxa"/>
            <w:tcBorders>
              <w:top w:val="single" w:color="auto" w:sz="12" w:space="0"/>
              <w:bottom w:val="single" w:color="000000" w:themeColor="text1" w:sz="4" w:space="0"/>
            </w:tcBorders>
            <w:vAlign w:val="center"/>
          </w:tcPr>
          <w:p>
            <w:pPr>
              <w:snapToGrid w:val="0"/>
              <w:jc w:val="center"/>
              <w:rPr>
                <w:rFonts w:ascii="Times New Roman" w:hAnsi="Times New Roman" w:eastAsia="宋体" w:cs="Times New Roman"/>
                <w:sz w:val="24"/>
                <w:szCs w:val="24"/>
              </w:rPr>
            </w:pPr>
            <w:r>
              <w:rPr>
                <w:rFonts w:ascii="Times New Roman" w:hAnsi="宋体" w:eastAsia="宋体" w:cs="Times New Roman"/>
                <w:sz w:val="24"/>
                <w:szCs w:val="24"/>
              </w:rPr>
              <w:t>电泳</w:t>
            </w:r>
            <w:r>
              <w:rPr>
                <w:rFonts w:hint="eastAsia" w:ascii="Times New Roman" w:hAnsi="宋体" w:eastAsia="宋体" w:cs="Times New Roman"/>
                <w:sz w:val="24"/>
                <w:szCs w:val="24"/>
              </w:rPr>
              <w:t>工艺</w:t>
            </w:r>
          </w:p>
        </w:tc>
        <w:tc>
          <w:tcPr>
            <w:tcW w:w="4445" w:type="dxa"/>
            <w:tcBorders>
              <w:top w:val="single" w:color="auto" w:sz="12" w:space="0"/>
              <w:bottom w:val="single" w:color="000000" w:themeColor="text1" w:sz="4" w:space="0"/>
            </w:tcBorders>
            <w:vAlign w:val="center"/>
          </w:tcPr>
          <w:p>
            <w:pPr>
              <w:snapToGrid w:val="0"/>
              <w:jc w:val="center"/>
              <w:rPr>
                <w:rFonts w:ascii="Times New Roman" w:hAnsi="Times New Roman" w:eastAsia="宋体" w:cs="Times New Roman"/>
                <w:sz w:val="24"/>
                <w:szCs w:val="24"/>
              </w:rPr>
            </w:pPr>
            <w:r>
              <w:rPr>
                <w:rFonts w:hint="eastAsia" w:ascii="Times New Roman" w:hAnsi="宋体" w:eastAsia="宋体" w:cs="Times New Roman"/>
                <w:sz w:val="24"/>
                <w:szCs w:val="24"/>
              </w:rPr>
              <w:t>单边</w:t>
            </w:r>
            <w:r>
              <w:rPr>
                <w:rFonts w:ascii="Times New Roman" w:hAnsi="宋体" w:eastAsia="宋体" w:cs="Times New Roman"/>
                <w:sz w:val="24"/>
                <w:szCs w:val="24"/>
              </w:rPr>
              <w:t>漆膜</w:t>
            </w:r>
            <w:r>
              <w:rPr>
                <w:rFonts w:hint="eastAsia" w:ascii="Times New Roman" w:hAnsi="宋体" w:eastAsia="宋体" w:cs="Times New Roman"/>
                <w:sz w:val="24"/>
                <w:szCs w:val="24"/>
              </w:rPr>
              <w:t>剥离距离（mm）</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27" w:hRule="atLeast"/>
          <w:jc w:val="center"/>
        </w:trPr>
        <w:tc>
          <w:tcPr>
            <w:tcW w:w="1476" w:type="dxa"/>
            <w:tcBorders>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DC04</w:t>
            </w:r>
          </w:p>
        </w:tc>
        <w:tc>
          <w:tcPr>
            <w:tcW w:w="1420" w:type="dxa"/>
            <w:tcBorders>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帕卡磷化</w:t>
            </w:r>
          </w:p>
        </w:tc>
        <w:tc>
          <w:tcPr>
            <w:tcW w:w="1178" w:type="dxa"/>
            <w:tcBorders>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关西</w:t>
            </w:r>
          </w:p>
        </w:tc>
        <w:tc>
          <w:tcPr>
            <w:tcW w:w="4445" w:type="dxa"/>
            <w:tcBorders>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2</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27" w:hRule="atLeast"/>
          <w:jc w:val="center"/>
        </w:trPr>
        <w:tc>
          <w:tcPr>
            <w:tcW w:w="1476"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DX54D+Z</w:t>
            </w:r>
          </w:p>
        </w:tc>
        <w:tc>
          <w:tcPr>
            <w:tcW w:w="1420"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帕卡磷化</w:t>
            </w:r>
          </w:p>
        </w:tc>
        <w:tc>
          <w:tcPr>
            <w:tcW w:w="1178"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关西</w:t>
            </w:r>
          </w:p>
        </w:tc>
        <w:tc>
          <w:tcPr>
            <w:tcW w:w="4445"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1.6</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27" w:hRule="atLeast"/>
          <w:jc w:val="center"/>
        </w:trPr>
        <w:tc>
          <w:tcPr>
            <w:tcW w:w="1476"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DX54D+ZF</w:t>
            </w:r>
          </w:p>
        </w:tc>
        <w:tc>
          <w:tcPr>
            <w:tcW w:w="1420"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帕卡磷化</w:t>
            </w:r>
          </w:p>
        </w:tc>
        <w:tc>
          <w:tcPr>
            <w:tcW w:w="1178"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关西</w:t>
            </w:r>
          </w:p>
        </w:tc>
        <w:tc>
          <w:tcPr>
            <w:tcW w:w="4445"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1</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27" w:hRule="atLeast"/>
          <w:jc w:val="center"/>
        </w:trPr>
        <w:tc>
          <w:tcPr>
            <w:tcW w:w="1476"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DX54D+ZM</w:t>
            </w:r>
          </w:p>
        </w:tc>
        <w:tc>
          <w:tcPr>
            <w:tcW w:w="1420"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帕卡磷化</w:t>
            </w:r>
          </w:p>
        </w:tc>
        <w:tc>
          <w:tcPr>
            <w:tcW w:w="1178"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关西</w:t>
            </w:r>
          </w:p>
        </w:tc>
        <w:tc>
          <w:tcPr>
            <w:tcW w:w="4445"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1.3</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27" w:hRule="atLeast"/>
          <w:jc w:val="center"/>
        </w:trPr>
        <w:tc>
          <w:tcPr>
            <w:tcW w:w="1476"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DC04</w:t>
            </w:r>
          </w:p>
        </w:tc>
        <w:tc>
          <w:tcPr>
            <w:tcW w:w="1420"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汉高薄膜</w:t>
            </w:r>
          </w:p>
        </w:tc>
        <w:tc>
          <w:tcPr>
            <w:tcW w:w="1178"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PPG</w:t>
            </w:r>
          </w:p>
        </w:tc>
        <w:tc>
          <w:tcPr>
            <w:tcW w:w="4445"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2.5</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27" w:hRule="atLeast"/>
          <w:jc w:val="center"/>
        </w:trPr>
        <w:tc>
          <w:tcPr>
            <w:tcW w:w="1476"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DX54D+Z</w:t>
            </w:r>
          </w:p>
        </w:tc>
        <w:tc>
          <w:tcPr>
            <w:tcW w:w="1420"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汉高薄膜</w:t>
            </w:r>
          </w:p>
        </w:tc>
        <w:tc>
          <w:tcPr>
            <w:tcW w:w="1178"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PPG</w:t>
            </w:r>
          </w:p>
        </w:tc>
        <w:tc>
          <w:tcPr>
            <w:tcW w:w="4445"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1.9</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27" w:hRule="atLeast"/>
          <w:jc w:val="center"/>
        </w:trPr>
        <w:tc>
          <w:tcPr>
            <w:tcW w:w="1476"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DX54D+ZF</w:t>
            </w:r>
          </w:p>
        </w:tc>
        <w:tc>
          <w:tcPr>
            <w:tcW w:w="1420"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汉高薄膜</w:t>
            </w:r>
          </w:p>
        </w:tc>
        <w:tc>
          <w:tcPr>
            <w:tcW w:w="1178"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PPG</w:t>
            </w:r>
          </w:p>
        </w:tc>
        <w:tc>
          <w:tcPr>
            <w:tcW w:w="4445" w:type="dxa"/>
            <w:tcBorders>
              <w:top w:val="nil"/>
              <w:bottom w:val="nil"/>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1.1</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27" w:hRule="atLeast"/>
          <w:jc w:val="center"/>
        </w:trPr>
        <w:tc>
          <w:tcPr>
            <w:tcW w:w="1476" w:type="dxa"/>
            <w:tcBorders>
              <w:top w:val="nil"/>
              <w:bottom w:val="single" w:color="auto" w:sz="12" w:space="0"/>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DX54D+ZM</w:t>
            </w:r>
          </w:p>
        </w:tc>
        <w:tc>
          <w:tcPr>
            <w:tcW w:w="1420" w:type="dxa"/>
            <w:tcBorders>
              <w:top w:val="nil"/>
              <w:bottom w:val="single" w:color="auto" w:sz="12" w:space="0"/>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汉高薄膜</w:t>
            </w:r>
          </w:p>
        </w:tc>
        <w:tc>
          <w:tcPr>
            <w:tcW w:w="1178" w:type="dxa"/>
            <w:tcBorders>
              <w:top w:val="nil"/>
              <w:bottom w:val="single" w:color="auto" w:sz="12" w:space="0"/>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PPG</w:t>
            </w:r>
          </w:p>
        </w:tc>
        <w:tc>
          <w:tcPr>
            <w:tcW w:w="4445" w:type="dxa"/>
            <w:tcBorders>
              <w:top w:val="nil"/>
              <w:bottom w:val="single" w:color="auto" w:sz="12" w:space="0"/>
            </w:tcBorders>
            <w:vAlign w:val="center"/>
          </w:tcPr>
          <w:p>
            <w:pPr>
              <w:snapToGrid w:val="0"/>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1.9</w:t>
            </w:r>
          </w:p>
        </w:tc>
      </w:tr>
    </w:tbl>
    <w:p>
      <w:pPr>
        <w:snapToGrid w:val="0"/>
        <w:ind w:firstLine="432"/>
        <w:rPr>
          <w:sz w:val="24"/>
          <w:szCs w:val="24"/>
        </w:rPr>
      </w:pPr>
    </w:p>
    <w:p>
      <w:pPr>
        <w:snapToGrid w:val="0"/>
        <w:ind w:firstLine="480" w:firstLineChars="200"/>
        <w:rPr>
          <w:sz w:val="24"/>
          <w:szCs w:val="24"/>
        </w:rPr>
      </w:pPr>
      <w:r>
        <w:rPr>
          <w:rFonts w:hint="eastAsia"/>
          <w:sz w:val="24"/>
          <w:szCs w:val="24"/>
        </w:rPr>
        <w:t>通过对DC04、DX54D+Z、DX54D+ZF、DX54D+ZM等进行检测可以发现，不同镀层材料、不同前处理工艺后的电泳漆膜体系的耐剥离性能有较大差异。本标准能有效区分不同耐剥离性能的汽车电泳板，总体而言，可证明本标准规定的检测方法和</w:t>
      </w:r>
      <w:r>
        <w:rPr>
          <w:rFonts w:ascii="Calibri" w:hAnsi="Calibri" w:eastAsia="宋体" w:cs="Times New Roman"/>
          <w:sz w:val="24"/>
          <w:szCs w:val="24"/>
        </w:rPr>
        <w:t>判定</w:t>
      </w:r>
      <w:r>
        <w:rPr>
          <w:rFonts w:hint="eastAsia" w:ascii="Calibri" w:hAnsi="Calibri" w:eastAsia="宋体" w:cs="Times New Roman"/>
          <w:sz w:val="24"/>
          <w:szCs w:val="24"/>
        </w:rPr>
        <w:t>标准</w:t>
      </w:r>
      <w:r>
        <w:rPr>
          <w:rFonts w:hint="eastAsia"/>
          <w:sz w:val="24"/>
          <w:szCs w:val="24"/>
        </w:rPr>
        <w:t>既先进合理，又切实可行。</w:t>
      </w:r>
    </w:p>
    <w:p>
      <w:pPr>
        <w:snapToGrid w:val="0"/>
        <w:rPr>
          <w:rFonts w:ascii="黑体" w:hAnsi="黑体" w:eastAsia="黑体"/>
          <w:sz w:val="24"/>
          <w:szCs w:val="24"/>
        </w:rPr>
      </w:pPr>
    </w:p>
    <w:p>
      <w:pPr>
        <w:snapToGrid w:val="0"/>
        <w:rPr>
          <w:rFonts w:ascii="黑体" w:hAnsi="黑体" w:eastAsia="黑体"/>
          <w:sz w:val="24"/>
          <w:szCs w:val="24"/>
        </w:rPr>
      </w:pPr>
      <w:r>
        <w:rPr>
          <w:rFonts w:hint="eastAsia" w:ascii="黑体" w:hAnsi="黑体" w:eastAsia="黑体"/>
          <w:sz w:val="24"/>
          <w:szCs w:val="24"/>
        </w:rPr>
        <w:t>五、标准中涉及专利的情况</w:t>
      </w:r>
    </w:p>
    <w:p>
      <w:pPr>
        <w:snapToGrid w:val="0"/>
        <w:ind w:firstLine="480" w:firstLineChars="200"/>
        <w:rPr>
          <w:sz w:val="24"/>
          <w:szCs w:val="24"/>
        </w:rPr>
      </w:pPr>
      <w:r>
        <w:rPr>
          <w:rFonts w:hint="eastAsia"/>
          <w:sz w:val="24"/>
          <w:szCs w:val="24"/>
        </w:rPr>
        <w:t>本标准不涉及专利问题。</w:t>
      </w:r>
    </w:p>
    <w:p>
      <w:pPr>
        <w:snapToGrid w:val="0"/>
        <w:rPr>
          <w:rFonts w:ascii="黑体" w:hAnsi="黑体" w:eastAsia="黑体"/>
          <w:sz w:val="24"/>
          <w:szCs w:val="24"/>
        </w:rPr>
      </w:pPr>
    </w:p>
    <w:p>
      <w:pPr>
        <w:snapToGrid w:val="0"/>
        <w:rPr>
          <w:rFonts w:ascii="黑体" w:hAnsi="黑体" w:eastAsia="黑体"/>
          <w:sz w:val="24"/>
          <w:szCs w:val="24"/>
        </w:rPr>
      </w:pPr>
      <w:r>
        <w:rPr>
          <w:rFonts w:hint="eastAsia" w:ascii="黑体" w:hAnsi="黑体" w:eastAsia="黑体"/>
          <w:sz w:val="24"/>
          <w:szCs w:val="24"/>
        </w:rPr>
        <w:t>六、预期达到的社会效益、对产业发展的作用等情况</w:t>
      </w:r>
    </w:p>
    <w:p>
      <w:pPr>
        <w:snapToGrid w:val="0"/>
        <w:ind w:firstLine="480" w:firstLineChars="200"/>
        <w:rPr>
          <w:sz w:val="24"/>
          <w:szCs w:val="24"/>
        </w:rPr>
      </w:pPr>
      <w:r>
        <w:rPr>
          <w:rFonts w:hint="eastAsia"/>
          <w:sz w:val="24"/>
          <w:szCs w:val="24"/>
        </w:rPr>
        <w:t>本标准于XXXX年首次发布。</w:t>
      </w:r>
    </w:p>
    <w:p>
      <w:pPr>
        <w:pStyle w:val="2"/>
        <w:shd w:val="clear" w:color="auto" w:fill="FFFFFF"/>
        <w:snapToGrid w:val="0"/>
        <w:spacing w:before="0" w:beforeAutospacing="0" w:after="0" w:afterAutospacing="0"/>
        <w:ind w:firstLine="480" w:firstLineChars="200"/>
        <w:rPr>
          <w:rFonts w:asciiTheme="minorHAnsi" w:hAnsiTheme="minorHAnsi" w:eastAsiaTheme="minorEastAsia" w:cstheme="minorBidi"/>
          <w:b w:val="0"/>
          <w:bCs w:val="0"/>
          <w:kern w:val="2"/>
          <w:sz w:val="24"/>
          <w:szCs w:val="24"/>
        </w:rPr>
      </w:pPr>
      <w:r>
        <w:rPr>
          <w:rFonts w:hint="eastAsia" w:asciiTheme="minorHAnsi" w:hAnsiTheme="minorHAnsi" w:eastAsiaTheme="minorEastAsia" w:cstheme="minorBidi"/>
          <w:b w:val="0"/>
          <w:bCs w:val="0"/>
          <w:kern w:val="2"/>
          <w:sz w:val="24"/>
          <w:szCs w:val="24"/>
        </w:rPr>
        <w:t>本标准主要适用于</w:t>
      </w:r>
      <w:r>
        <w:rPr>
          <w:rFonts w:asciiTheme="minorHAnsi" w:hAnsiTheme="minorHAnsi" w:eastAsiaTheme="minorEastAsia" w:cstheme="minorBidi"/>
          <w:b w:val="0"/>
          <w:bCs w:val="0"/>
          <w:kern w:val="2"/>
          <w:sz w:val="24"/>
          <w:szCs w:val="24"/>
        </w:rPr>
        <w:t>冷轧汽车板</w:t>
      </w:r>
      <w:r>
        <w:rPr>
          <w:rFonts w:hint="eastAsia" w:asciiTheme="minorHAnsi" w:hAnsiTheme="minorHAnsi" w:eastAsiaTheme="minorEastAsia" w:cstheme="minorBidi"/>
          <w:b w:val="0"/>
          <w:bCs w:val="0"/>
          <w:kern w:val="2"/>
          <w:sz w:val="24"/>
          <w:szCs w:val="24"/>
        </w:rPr>
        <w:t>耐剥离性能评价。目前中国国家标准</w:t>
      </w:r>
      <w:r>
        <w:rPr>
          <w:rFonts w:asciiTheme="minorHAnsi" w:hAnsiTheme="minorHAnsi" w:eastAsiaTheme="minorEastAsia" w:cstheme="minorBidi"/>
          <w:b w:val="0"/>
          <w:bCs w:val="0"/>
          <w:kern w:val="2"/>
          <w:sz w:val="24"/>
          <w:szCs w:val="24"/>
        </w:rPr>
        <w:t>GB∕T9286-1998</w:t>
      </w:r>
      <w:r>
        <w:rPr>
          <w:rFonts w:hint="eastAsia" w:asciiTheme="minorHAnsi" w:hAnsiTheme="minorHAnsi" w:eastAsiaTheme="minorEastAsia" w:cstheme="minorBidi"/>
          <w:b w:val="0"/>
          <w:bCs w:val="0"/>
          <w:kern w:val="2"/>
          <w:sz w:val="24"/>
          <w:szCs w:val="24"/>
        </w:rPr>
        <w:t>《</w:t>
      </w:r>
      <w:r>
        <w:rPr>
          <w:rFonts w:asciiTheme="minorHAnsi" w:hAnsiTheme="minorHAnsi" w:eastAsiaTheme="minorEastAsia" w:cstheme="minorBidi"/>
          <w:b w:val="0"/>
          <w:bCs w:val="0"/>
          <w:kern w:val="2"/>
          <w:sz w:val="24"/>
          <w:szCs w:val="24"/>
        </w:rPr>
        <w:t>色漆和清漆漆膜的划格试验</w:t>
      </w:r>
      <w:r>
        <w:rPr>
          <w:rFonts w:hint="eastAsia" w:asciiTheme="minorHAnsi" w:hAnsiTheme="minorHAnsi" w:eastAsiaTheme="minorEastAsia" w:cstheme="minorBidi"/>
          <w:b w:val="0"/>
          <w:bCs w:val="0"/>
          <w:kern w:val="2"/>
          <w:sz w:val="24"/>
          <w:szCs w:val="24"/>
        </w:rPr>
        <w:t>》中所涉及到的试验方法已不能满足现有用户要求。本标准将为国内汽车板生产厂家和汽车厂家提供冷轧汽车板电泳漆膜耐剥离性能检测标准，有助于国内汽车板材在高端用户的推广使用，同时促进国内汽车厂家选材的高标准化，促进汽车行业的高质量发展。</w:t>
      </w:r>
    </w:p>
    <w:p>
      <w:pPr>
        <w:snapToGrid w:val="0"/>
        <w:rPr>
          <w:rFonts w:ascii="黑体" w:hAnsi="黑体" w:eastAsia="黑体"/>
          <w:sz w:val="24"/>
          <w:szCs w:val="24"/>
        </w:rPr>
      </w:pPr>
    </w:p>
    <w:p>
      <w:pPr>
        <w:snapToGrid w:val="0"/>
        <w:rPr>
          <w:rFonts w:ascii="黑体" w:hAnsi="黑体" w:eastAsia="黑体"/>
          <w:sz w:val="24"/>
          <w:szCs w:val="24"/>
        </w:rPr>
      </w:pPr>
      <w:r>
        <w:rPr>
          <w:rFonts w:hint="eastAsia" w:ascii="黑体" w:hAnsi="黑体" w:eastAsia="黑体"/>
          <w:sz w:val="24"/>
          <w:szCs w:val="24"/>
        </w:rPr>
        <w:t>七、与国际、国外对比情况</w:t>
      </w:r>
    </w:p>
    <w:p>
      <w:pPr>
        <w:snapToGrid w:val="0"/>
        <w:ind w:firstLine="480" w:firstLineChars="200"/>
        <w:rPr>
          <w:sz w:val="24"/>
          <w:szCs w:val="24"/>
        </w:rPr>
      </w:pPr>
      <w:r>
        <w:rPr>
          <w:rFonts w:hint="eastAsia"/>
          <w:sz w:val="24"/>
          <w:szCs w:val="24"/>
        </w:rPr>
        <w:t>本标准制定过程中未查到同类国际标准。</w:t>
      </w:r>
    </w:p>
    <w:p>
      <w:pPr>
        <w:snapToGrid w:val="0"/>
        <w:ind w:firstLine="480" w:firstLineChars="200"/>
        <w:rPr>
          <w:sz w:val="24"/>
          <w:szCs w:val="24"/>
        </w:rPr>
      </w:pPr>
      <w:r>
        <w:rPr>
          <w:rFonts w:hint="eastAsia"/>
          <w:sz w:val="24"/>
          <w:szCs w:val="24"/>
        </w:rPr>
        <w:t>GB/T 7790-2008《色漆和清漆 暴露在海水中的涂层耐阴极剥离性能的测定》中规定了涂层耐阴极剥离的测试方法，该方法（A外加电流法）采用-1.05V恒电位极化（电解液为人造海水）26周，实验温度为23℃，结果评价包括被剥离涂层距人造涂孔的最大、最小距离及剥离面积，该标准主要适用于船舶及海洋工程结构物等暴露在海水中的金属基材上的涂层，不适用于评估陆地结构物上的涂层。该方法主要针对在实际使用过程中采用阴极保护的体系，一般涂层较厚，极化过电压较小，极化过程中主要以模拟真实阴极保护工况的氧还原为主，不涉及电解水产生氢气，评价周期较长。GB7790-2008采用的为恒电位，本方法试验对象为冷轧汽车板+电泳漆膜，拟采用较大阴极电流，阴极反应产生的 OH-可使区域碱性增大，促使前处理膜溶解，加速电泳膜分层，产生的 H</w:t>
      </w:r>
      <w:r>
        <w:rPr>
          <w:rFonts w:hint="eastAsia"/>
          <w:sz w:val="24"/>
          <w:szCs w:val="24"/>
          <w:vertAlign w:val="subscript"/>
        </w:rPr>
        <w:t>2</w:t>
      </w:r>
      <w:r>
        <w:rPr>
          <w:rFonts w:hint="eastAsia"/>
          <w:sz w:val="24"/>
          <w:szCs w:val="24"/>
        </w:rPr>
        <w:t>也能加速电泳膜的物理分层，时间短，剥离速度快。</w:t>
      </w:r>
    </w:p>
    <w:p>
      <w:pPr>
        <w:widowControl/>
        <w:snapToGrid w:val="0"/>
        <w:ind w:firstLine="480" w:firstLineChars="200"/>
        <w:jc w:val="left"/>
        <w:rPr>
          <w:sz w:val="24"/>
          <w:szCs w:val="24"/>
        </w:rPr>
      </w:pPr>
      <w:r>
        <w:rPr>
          <w:sz w:val="24"/>
          <w:szCs w:val="24"/>
        </w:rPr>
        <w:t>GB∕T9286-1998</w:t>
      </w:r>
      <w:r>
        <w:rPr>
          <w:rFonts w:hint="eastAsia"/>
          <w:b/>
          <w:bCs/>
          <w:sz w:val="24"/>
          <w:szCs w:val="24"/>
        </w:rPr>
        <w:t>《</w:t>
      </w:r>
      <w:r>
        <w:rPr>
          <w:sz w:val="24"/>
          <w:szCs w:val="24"/>
        </w:rPr>
        <w:t>色漆和清漆漆膜的划格试验</w:t>
      </w:r>
      <w:r>
        <w:rPr>
          <w:rFonts w:hint="eastAsia"/>
          <w:b/>
          <w:bCs/>
          <w:sz w:val="24"/>
          <w:szCs w:val="24"/>
        </w:rPr>
        <w:t>》</w:t>
      </w:r>
      <w:r>
        <w:rPr>
          <w:rFonts w:hint="eastAsia"/>
          <w:sz w:val="24"/>
          <w:szCs w:val="24"/>
        </w:rPr>
        <w:t>中规定了有机涂层附着力的测试方法，采用百格刀进行划格试验后用黏胶带将尚失附着力的漆膜部分去掉，评价漆膜有基材的附着力，该标准为物理方法，本标准采用电化学法，二者存在本质区别。</w:t>
      </w:r>
    </w:p>
    <w:p>
      <w:pPr>
        <w:widowControl/>
        <w:snapToGrid w:val="0"/>
        <w:ind w:firstLine="480" w:firstLineChars="200"/>
        <w:jc w:val="left"/>
        <w:rPr>
          <w:sz w:val="24"/>
          <w:szCs w:val="24"/>
        </w:rPr>
      </w:pPr>
      <w:r>
        <w:rPr>
          <w:rFonts w:hint="eastAsia"/>
          <w:sz w:val="24"/>
          <w:szCs w:val="24"/>
        </w:rPr>
        <w:t>德国大众汽车集团企业标准（PV3.18.1）规定了对</w:t>
      </w:r>
      <w:r>
        <w:rPr>
          <w:sz w:val="24"/>
          <w:szCs w:val="24"/>
        </w:rPr>
        <w:t>涂膜</w:t>
      </w:r>
      <w:r>
        <w:rPr>
          <w:rFonts w:hint="eastAsia"/>
          <w:sz w:val="24"/>
          <w:szCs w:val="24"/>
        </w:rPr>
        <w:t>划痕</w:t>
      </w:r>
      <w:r>
        <w:rPr>
          <w:sz w:val="24"/>
          <w:szCs w:val="24"/>
        </w:rPr>
        <w:t>试样</w:t>
      </w:r>
      <w:r>
        <w:rPr>
          <w:rFonts w:hint="eastAsia"/>
          <w:sz w:val="24"/>
          <w:szCs w:val="24"/>
        </w:rPr>
        <w:t>采用-20mA恒电流阴极极化（电解液为0.1mol/L硫酸钠溶液）24h后测量其扩蚀宽度的技术，本标准与PV3.18.1的区别主要有如下三个方面：（1）本标准明确规定了划痕的宽度为0.5mm，推荐了划痕所用工具，PV3.18.1对划痕宽度和工具未做明确要求；（2）本装置采用的电解槽和电解液与PV3.18.1有较大区别；（3）剥离后评价方法有较大区别，本装置采用测量最大剥离宽度，PV3.18.1采用取6处平均值方法。</w:t>
      </w:r>
    </w:p>
    <w:p>
      <w:pPr>
        <w:snapToGrid w:val="0"/>
        <w:rPr>
          <w:sz w:val="24"/>
          <w:szCs w:val="24"/>
        </w:rPr>
      </w:pPr>
    </w:p>
    <w:p>
      <w:pPr>
        <w:snapToGrid w:val="0"/>
        <w:rPr>
          <w:rFonts w:ascii="黑体" w:hAnsi="黑体" w:eastAsia="黑体"/>
          <w:sz w:val="24"/>
          <w:szCs w:val="24"/>
        </w:rPr>
      </w:pPr>
      <w:r>
        <w:rPr>
          <w:rFonts w:hint="eastAsia" w:ascii="黑体" w:hAnsi="黑体" w:eastAsia="黑体"/>
          <w:sz w:val="24"/>
          <w:szCs w:val="24"/>
        </w:rPr>
        <w:t>八、在标准体系中的位置，与现行相关法律、法规、规章及标准，特别是强制性标准的协调性</w:t>
      </w:r>
    </w:p>
    <w:p>
      <w:pPr>
        <w:snapToGrid w:val="0"/>
        <w:ind w:firstLine="480" w:firstLineChars="200"/>
        <w:rPr>
          <w:sz w:val="24"/>
          <w:szCs w:val="24"/>
        </w:rPr>
      </w:pPr>
      <w:r>
        <w:rPr>
          <w:rFonts w:hint="eastAsia"/>
          <w:sz w:val="24"/>
          <w:szCs w:val="24"/>
        </w:rPr>
        <w:t>本标准与现行相关法律、法规、规章及相关标准协调一致。</w:t>
      </w:r>
    </w:p>
    <w:p>
      <w:pPr>
        <w:snapToGrid w:val="0"/>
        <w:rPr>
          <w:rFonts w:ascii="黑体" w:hAnsi="黑体" w:eastAsia="黑体"/>
          <w:sz w:val="24"/>
          <w:szCs w:val="24"/>
        </w:rPr>
      </w:pPr>
    </w:p>
    <w:p>
      <w:pPr>
        <w:snapToGrid w:val="0"/>
        <w:rPr>
          <w:rFonts w:ascii="黑体" w:hAnsi="黑体" w:eastAsia="黑体"/>
          <w:sz w:val="24"/>
          <w:szCs w:val="24"/>
        </w:rPr>
      </w:pPr>
      <w:r>
        <w:rPr>
          <w:rFonts w:hint="eastAsia" w:ascii="黑体" w:hAnsi="黑体" w:eastAsia="黑体"/>
          <w:sz w:val="24"/>
          <w:szCs w:val="24"/>
        </w:rPr>
        <w:t>九、重大分歧意见的处理经过和依据</w:t>
      </w:r>
    </w:p>
    <w:p>
      <w:pPr>
        <w:snapToGrid w:val="0"/>
        <w:ind w:firstLine="480" w:firstLineChars="200"/>
        <w:rPr>
          <w:sz w:val="24"/>
          <w:szCs w:val="24"/>
        </w:rPr>
      </w:pPr>
      <w:r>
        <w:rPr>
          <w:rFonts w:hint="eastAsia"/>
          <w:sz w:val="24"/>
          <w:szCs w:val="24"/>
        </w:rPr>
        <w:t>无。</w:t>
      </w:r>
    </w:p>
    <w:p>
      <w:pPr>
        <w:snapToGrid w:val="0"/>
        <w:rPr>
          <w:rFonts w:ascii="黑体" w:hAnsi="黑体" w:eastAsia="黑体"/>
          <w:sz w:val="24"/>
          <w:szCs w:val="24"/>
        </w:rPr>
      </w:pPr>
    </w:p>
    <w:p>
      <w:pPr>
        <w:snapToGrid w:val="0"/>
        <w:rPr>
          <w:rFonts w:ascii="黑体" w:hAnsi="黑体" w:eastAsia="黑体"/>
          <w:sz w:val="24"/>
          <w:szCs w:val="24"/>
        </w:rPr>
      </w:pPr>
      <w:r>
        <w:rPr>
          <w:rFonts w:hint="eastAsia" w:ascii="黑体" w:hAnsi="黑体" w:eastAsia="黑体"/>
          <w:sz w:val="24"/>
          <w:szCs w:val="24"/>
        </w:rPr>
        <w:t>十、标准性质的建议说明</w:t>
      </w:r>
    </w:p>
    <w:p>
      <w:pPr>
        <w:snapToGrid w:val="0"/>
        <w:ind w:firstLine="480" w:firstLineChars="200"/>
        <w:rPr>
          <w:sz w:val="24"/>
          <w:szCs w:val="24"/>
        </w:rPr>
      </w:pPr>
      <w:r>
        <w:rPr>
          <w:rFonts w:hint="eastAsia"/>
          <w:sz w:val="24"/>
          <w:szCs w:val="24"/>
        </w:rPr>
        <w:t>建议本标准的性质为推荐性国家标准。</w:t>
      </w:r>
    </w:p>
    <w:p>
      <w:pPr>
        <w:snapToGrid w:val="0"/>
        <w:rPr>
          <w:rFonts w:ascii="黑体" w:hAnsi="黑体" w:eastAsia="黑体"/>
          <w:sz w:val="24"/>
          <w:szCs w:val="24"/>
        </w:rPr>
      </w:pPr>
    </w:p>
    <w:p>
      <w:pPr>
        <w:snapToGrid w:val="0"/>
        <w:rPr>
          <w:rFonts w:ascii="黑体" w:hAnsi="黑体" w:eastAsia="黑体"/>
          <w:sz w:val="24"/>
          <w:szCs w:val="24"/>
        </w:rPr>
      </w:pPr>
      <w:r>
        <w:rPr>
          <w:rFonts w:hint="eastAsia" w:ascii="黑体" w:hAnsi="黑体" w:eastAsia="黑体"/>
          <w:sz w:val="24"/>
          <w:szCs w:val="24"/>
        </w:rPr>
        <w:t>十一、贯彻标准的要求和措施建议</w:t>
      </w:r>
    </w:p>
    <w:p>
      <w:pPr>
        <w:snapToGrid w:val="0"/>
        <w:ind w:firstLine="480" w:firstLineChars="200"/>
        <w:rPr>
          <w:sz w:val="24"/>
          <w:szCs w:val="24"/>
        </w:rPr>
      </w:pPr>
      <w:r>
        <w:rPr>
          <w:rFonts w:hint="eastAsia"/>
          <w:sz w:val="24"/>
          <w:szCs w:val="24"/>
        </w:rPr>
        <w:t>一般情况下，建议本标准批准发布6个月后实施。</w:t>
      </w:r>
    </w:p>
    <w:p>
      <w:pPr>
        <w:snapToGrid w:val="0"/>
        <w:rPr>
          <w:rFonts w:ascii="黑体" w:hAnsi="黑体" w:eastAsia="黑体"/>
          <w:sz w:val="24"/>
          <w:szCs w:val="24"/>
        </w:rPr>
      </w:pPr>
    </w:p>
    <w:p>
      <w:pPr>
        <w:snapToGrid w:val="0"/>
        <w:rPr>
          <w:rFonts w:ascii="黑体" w:hAnsi="黑体" w:eastAsia="黑体"/>
          <w:sz w:val="24"/>
          <w:szCs w:val="24"/>
        </w:rPr>
      </w:pPr>
      <w:r>
        <w:rPr>
          <w:rFonts w:hint="eastAsia" w:ascii="黑体" w:hAnsi="黑体" w:eastAsia="黑体"/>
          <w:sz w:val="24"/>
          <w:szCs w:val="24"/>
        </w:rPr>
        <w:t>十二、废止或代替现行相关标准的建议</w:t>
      </w:r>
    </w:p>
    <w:p>
      <w:pPr>
        <w:snapToGrid w:val="0"/>
        <w:ind w:firstLine="480" w:firstLineChars="200"/>
        <w:rPr>
          <w:sz w:val="24"/>
          <w:szCs w:val="24"/>
        </w:rPr>
      </w:pPr>
      <w:r>
        <w:rPr>
          <w:rFonts w:hint="eastAsia"/>
          <w:sz w:val="24"/>
          <w:szCs w:val="24"/>
        </w:rPr>
        <w:t>无。</w:t>
      </w:r>
    </w:p>
    <w:p>
      <w:pPr>
        <w:snapToGrid w:val="0"/>
        <w:rPr>
          <w:rFonts w:ascii="黑体" w:hAnsi="黑体" w:eastAsia="黑体"/>
          <w:sz w:val="24"/>
          <w:szCs w:val="24"/>
        </w:rPr>
      </w:pPr>
    </w:p>
    <w:p>
      <w:pPr>
        <w:snapToGrid w:val="0"/>
        <w:rPr>
          <w:rFonts w:ascii="黑体" w:hAnsi="黑体" w:eastAsia="黑体"/>
          <w:sz w:val="24"/>
          <w:szCs w:val="24"/>
        </w:rPr>
      </w:pPr>
      <w:r>
        <w:rPr>
          <w:rFonts w:hint="eastAsia" w:ascii="黑体" w:hAnsi="黑体" w:eastAsia="黑体"/>
          <w:sz w:val="24"/>
          <w:szCs w:val="24"/>
        </w:rPr>
        <w:t>十三、其他应予说明的事项</w:t>
      </w:r>
    </w:p>
    <w:p>
      <w:pPr>
        <w:snapToGrid w:val="0"/>
        <w:ind w:firstLine="480" w:firstLineChars="200"/>
        <w:rPr>
          <w:sz w:val="24"/>
          <w:szCs w:val="24"/>
        </w:rPr>
      </w:pPr>
      <w:r>
        <w:rPr>
          <w:rFonts w:hint="eastAsia"/>
          <w:sz w:val="24"/>
          <w:szCs w:val="24"/>
        </w:rPr>
        <w:t>无。</w:t>
      </w:r>
    </w:p>
    <w:p>
      <w:pPr>
        <w:snapToGrid w:val="0"/>
        <w:jc w:val="right"/>
        <w:rPr>
          <w:sz w:val="24"/>
          <w:szCs w:val="24"/>
        </w:rPr>
      </w:pPr>
    </w:p>
    <w:p>
      <w:pPr>
        <w:snapToGrid w:val="0"/>
        <w:jc w:val="right"/>
        <w:rPr>
          <w:sz w:val="24"/>
          <w:szCs w:val="24"/>
        </w:rPr>
      </w:pPr>
    </w:p>
    <w:p>
      <w:pPr>
        <w:snapToGrid w:val="0"/>
        <w:jc w:val="right"/>
        <w:rPr>
          <w:sz w:val="24"/>
          <w:szCs w:val="24"/>
        </w:rPr>
      </w:pPr>
    </w:p>
    <w:p>
      <w:pPr>
        <w:snapToGrid w:val="0"/>
        <w:jc w:val="right"/>
        <w:rPr>
          <w:sz w:val="24"/>
          <w:szCs w:val="24"/>
        </w:rPr>
      </w:pPr>
      <w:r>
        <w:rPr>
          <w:rFonts w:hint="eastAsia"/>
          <w:sz w:val="24"/>
          <w:szCs w:val="24"/>
        </w:rPr>
        <w:t>《</w:t>
      </w:r>
      <w:r>
        <w:rPr>
          <w:rFonts w:ascii="Times New Roman" w:cs="Times New Roman" w:hAnsiTheme="minorEastAsia"/>
          <w:sz w:val="24"/>
          <w:szCs w:val="24"/>
        </w:rPr>
        <w:t>汽车用冷轧钢板电泳漆膜耐剥离性能电化学测试方法</w:t>
      </w:r>
      <w:r>
        <w:rPr>
          <w:rFonts w:hint="eastAsia"/>
          <w:sz w:val="24"/>
          <w:szCs w:val="24"/>
        </w:rPr>
        <w:t>》</w:t>
      </w:r>
    </w:p>
    <w:p>
      <w:pPr>
        <w:wordWrap w:val="0"/>
        <w:snapToGrid w:val="0"/>
        <w:jc w:val="right"/>
        <w:rPr>
          <w:sz w:val="24"/>
          <w:szCs w:val="24"/>
        </w:rPr>
      </w:pPr>
      <w:r>
        <w:rPr>
          <w:rFonts w:hint="eastAsia"/>
          <w:sz w:val="24"/>
          <w:szCs w:val="24"/>
        </w:rPr>
        <w:t>标准编制工作组</w:t>
      </w:r>
    </w:p>
    <w:p>
      <w:pPr>
        <w:wordWrap w:val="0"/>
        <w:snapToGrid w:val="0"/>
        <w:jc w:val="right"/>
        <w:rPr>
          <w:color w:val="auto"/>
          <w:sz w:val="24"/>
          <w:szCs w:val="24"/>
        </w:rPr>
      </w:pPr>
      <w:r>
        <w:rPr>
          <w:rFonts w:hint="eastAsia"/>
          <w:color w:val="auto"/>
          <w:sz w:val="24"/>
          <w:szCs w:val="24"/>
        </w:rPr>
        <w:t>202</w:t>
      </w:r>
      <w:r>
        <w:rPr>
          <w:rFonts w:hint="eastAsia"/>
          <w:color w:val="auto"/>
          <w:sz w:val="24"/>
          <w:szCs w:val="24"/>
          <w:lang w:val="en-US" w:eastAsia="zh-CN"/>
        </w:rPr>
        <w:t>1</w:t>
      </w:r>
      <w:r>
        <w:rPr>
          <w:rFonts w:hint="eastAsia"/>
          <w:color w:val="auto"/>
          <w:sz w:val="24"/>
          <w:szCs w:val="24"/>
        </w:rPr>
        <w:t>年</w:t>
      </w:r>
      <w:r>
        <w:rPr>
          <w:rFonts w:hint="eastAsia"/>
          <w:color w:val="auto"/>
          <w:sz w:val="24"/>
          <w:szCs w:val="24"/>
          <w:lang w:val="en-US" w:eastAsia="zh-CN"/>
        </w:rPr>
        <w:t>4</w:t>
      </w:r>
      <w:r>
        <w:rPr>
          <w:rFonts w:hint="eastAsia"/>
          <w:color w:val="auto"/>
          <w:sz w:val="24"/>
          <w:szCs w:val="24"/>
        </w:rPr>
        <w:t>月</w:t>
      </w:r>
      <w:r>
        <w:rPr>
          <w:rFonts w:hint="eastAsia"/>
          <w:color w:val="auto"/>
          <w:sz w:val="24"/>
          <w:szCs w:val="24"/>
          <w:lang w:val="en-US" w:eastAsia="zh-CN"/>
        </w:rPr>
        <w:t>30</w:t>
      </w:r>
      <w:r>
        <w:rPr>
          <w:rFonts w:hint="eastAsia"/>
          <w:color w:val="auto"/>
          <w:sz w:val="24"/>
          <w:szCs w:val="24"/>
        </w:rPr>
        <w:t>日</w:t>
      </w:r>
    </w:p>
    <w:p>
      <w:pPr>
        <w:snapToGrid w:val="0"/>
        <w:ind w:firstLine="480" w:firstLineChars="200"/>
        <w:jc w:val="left"/>
        <w:rPr>
          <w:rFonts w:ascii="Times New Roman" w:cs="Times New Roman" w:hAnsiTheme="minorEastAsia"/>
          <w:sz w:val="24"/>
          <w:szCs w:val="24"/>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3"/>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977"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525"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03450"/>
    <w:rsid w:val="000B7FFE"/>
    <w:rsid w:val="000D3F34"/>
    <w:rsid w:val="00136CFD"/>
    <w:rsid w:val="00157665"/>
    <w:rsid w:val="0016716A"/>
    <w:rsid w:val="0025488F"/>
    <w:rsid w:val="00272532"/>
    <w:rsid w:val="00285F2D"/>
    <w:rsid w:val="00381874"/>
    <w:rsid w:val="00404D9D"/>
    <w:rsid w:val="00417BDC"/>
    <w:rsid w:val="00433251"/>
    <w:rsid w:val="004407E0"/>
    <w:rsid w:val="004806E4"/>
    <w:rsid w:val="004827F7"/>
    <w:rsid w:val="005469C9"/>
    <w:rsid w:val="0058622C"/>
    <w:rsid w:val="005F403E"/>
    <w:rsid w:val="006560B1"/>
    <w:rsid w:val="00693DC7"/>
    <w:rsid w:val="00715626"/>
    <w:rsid w:val="00753785"/>
    <w:rsid w:val="00781F41"/>
    <w:rsid w:val="007A60CA"/>
    <w:rsid w:val="007C7F79"/>
    <w:rsid w:val="007E4011"/>
    <w:rsid w:val="00855602"/>
    <w:rsid w:val="0090311C"/>
    <w:rsid w:val="009177AC"/>
    <w:rsid w:val="00944B9C"/>
    <w:rsid w:val="009875EC"/>
    <w:rsid w:val="009B7ED5"/>
    <w:rsid w:val="009C640D"/>
    <w:rsid w:val="009D3673"/>
    <w:rsid w:val="00A473C5"/>
    <w:rsid w:val="00A95209"/>
    <w:rsid w:val="00AD1CDD"/>
    <w:rsid w:val="00BC0487"/>
    <w:rsid w:val="00C362F7"/>
    <w:rsid w:val="00C65A0E"/>
    <w:rsid w:val="00CA3467"/>
    <w:rsid w:val="00CE3334"/>
    <w:rsid w:val="00D13EB7"/>
    <w:rsid w:val="00E817D8"/>
    <w:rsid w:val="00E94314"/>
    <w:rsid w:val="00ED2CB1"/>
    <w:rsid w:val="00F03450"/>
    <w:rsid w:val="00F34057"/>
    <w:rsid w:val="00FC5A8B"/>
    <w:rsid w:val="174555FE"/>
    <w:rsid w:val="2C4F5A78"/>
    <w:rsid w:val="2D784288"/>
    <w:rsid w:val="35A912E3"/>
    <w:rsid w:val="39104CD7"/>
    <w:rsid w:val="49713CBD"/>
    <w:rsid w:val="4E0B6DD0"/>
    <w:rsid w:val="5F90239D"/>
    <w:rsid w:val="61C77581"/>
    <w:rsid w:val="632C5FCA"/>
    <w:rsid w:val="6EFE6C3F"/>
    <w:rsid w:val="7A6956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8"/>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7"/>
    <w:semiHidden/>
    <w:unhideWhenUsed/>
    <w:qFormat/>
    <w:uiPriority w:val="99"/>
    <w:rPr>
      <w:sz w:val="18"/>
      <w:szCs w:val="18"/>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段 Char"/>
    <w:link w:val="12"/>
    <w:qFormat/>
    <w:uiPriority w:val="0"/>
    <w:rPr>
      <w:rFonts w:ascii="宋体"/>
    </w:rPr>
  </w:style>
  <w:style w:type="paragraph" w:customStyle="1" w:styleId="12">
    <w:name w:val="段"/>
    <w:link w:val="11"/>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3">
    <w:name w:val="章标题"/>
    <w:next w:val="12"/>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character" w:customStyle="1" w:styleId="14">
    <w:name w:val="fontstyle01"/>
    <w:basedOn w:val="8"/>
    <w:qFormat/>
    <w:uiPriority w:val="0"/>
    <w:rPr>
      <w:rFonts w:hint="eastAsia" w:ascii="宋体" w:hAnsi="宋体" w:eastAsia="宋体"/>
      <w:color w:val="000000"/>
      <w:sz w:val="22"/>
      <w:szCs w:val="22"/>
    </w:rPr>
  </w:style>
  <w:style w:type="paragraph" w:customStyle="1" w:styleId="15">
    <w:name w:val="图标题"/>
    <w:basedOn w:val="1"/>
    <w:next w:val="1"/>
    <w:link w:val="16"/>
    <w:qFormat/>
    <w:uiPriority w:val="0"/>
    <w:pPr>
      <w:tabs>
        <w:tab w:val="center" w:pos="4393"/>
        <w:tab w:val="left" w:pos="7680"/>
      </w:tabs>
      <w:spacing w:line="360" w:lineRule="auto"/>
      <w:ind w:firstLine="420" w:firstLineChars="200"/>
      <w:jc w:val="center"/>
    </w:pPr>
    <w:rPr>
      <w:rFonts w:ascii="Times New Roman" w:hAnsi="Times New Roman" w:cs="Times New Roman"/>
      <w:szCs w:val="21"/>
    </w:rPr>
  </w:style>
  <w:style w:type="character" w:customStyle="1" w:styleId="16">
    <w:name w:val="图标题 Char"/>
    <w:link w:val="15"/>
    <w:qFormat/>
    <w:uiPriority w:val="0"/>
    <w:rPr>
      <w:rFonts w:ascii="Times New Roman" w:hAnsi="Times New Roman" w:cs="Times New Roman"/>
      <w:szCs w:val="21"/>
    </w:rPr>
  </w:style>
  <w:style w:type="character" w:customStyle="1" w:styleId="17">
    <w:name w:val="批注框文本 Char"/>
    <w:basedOn w:val="8"/>
    <w:link w:val="3"/>
    <w:semiHidden/>
    <w:qFormat/>
    <w:uiPriority w:val="99"/>
    <w:rPr>
      <w:sz w:val="18"/>
      <w:szCs w:val="18"/>
    </w:rPr>
  </w:style>
  <w:style w:type="character" w:customStyle="1" w:styleId="18">
    <w:name w:val="标题 3 Char"/>
    <w:basedOn w:val="8"/>
    <w:link w:val="2"/>
    <w:qFormat/>
    <w:uiPriority w:val="9"/>
    <w:rPr>
      <w:rFonts w:ascii="宋体" w:hAnsi="宋体" w:eastAsia="宋体" w:cs="宋体"/>
      <w:b/>
      <w:bCs/>
      <w:kern w:val="0"/>
      <w:sz w:val="27"/>
      <w:szCs w:val="2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首钢</Company>
  <Pages>4</Pages>
  <Words>572</Words>
  <Characters>3264</Characters>
  <Lines>27</Lines>
  <Paragraphs>7</Paragraphs>
  <TotalTime>6</TotalTime>
  <ScaleCrop>false</ScaleCrop>
  <LinksUpToDate>false</LinksUpToDate>
  <CharactersWithSpaces>3829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2021-05-12T00:22:00Z</dcterms:created>
  <dc:creator>黎敏</dc:creator>
  <cp:lastModifiedBy>唐牧</cp:lastModifiedBy>
  <cp:lastPrinted>2020-09-29T07:37:00Z</cp:lastPrinted>
  <dcterms:modified xsi:type="dcterms:W3CDTF">2021-05-12T01:42:57Z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